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15" w:rsidRPr="00F80316" w:rsidRDefault="00F65115" w:rsidP="00F65115">
      <w:pPr>
        <w:widowControl w:val="0"/>
        <w:spacing w:before="240"/>
        <w:ind w:left="720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b/>
          <w:sz w:val="18"/>
          <w:szCs w:val="18"/>
          <w:lang w:bidi="en-US"/>
        </w:rPr>
        <w:t>Objective</w:t>
      </w:r>
      <w:r w:rsidRPr="00F80316">
        <w:rPr>
          <w:rFonts w:ascii="Arial" w:hAnsi="Arial" w:cs="Arial"/>
          <w:sz w:val="18"/>
          <w:szCs w:val="18"/>
          <w:lang w:bidi="en-US"/>
        </w:rPr>
        <w:t xml:space="preserve">: </w:t>
      </w:r>
      <w:r>
        <w:rPr>
          <w:rFonts w:ascii="Arial" w:hAnsi="Arial" w:cs="Arial"/>
          <w:b/>
          <w:sz w:val="18"/>
          <w:szCs w:val="18"/>
        </w:rPr>
        <w:t>Update existing information on pretreatment settling practices and provide pretreatment case studies</w:t>
      </w:r>
    </w:p>
    <w:p w:rsidR="00F65115" w:rsidRPr="00F80316" w:rsidRDefault="00F65115" w:rsidP="00F65115">
      <w:pPr>
        <w:widowControl w:val="0"/>
        <w:spacing w:before="120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U</w:t>
      </w:r>
      <w:r w:rsidRPr="00F80316">
        <w:rPr>
          <w:rFonts w:ascii="Arial" w:eastAsia="Calibri" w:hAnsi="Arial" w:cs="Arial"/>
          <w:sz w:val="18"/>
          <w:szCs w:val="18"/>
        </w:rPr>
        <w:t xml:space="preserve">pdate existing information and provide new information on pretreatment for incorporation into the Minnesota </w:t>
      </w:r>
      <w:proofErr w:type="spellStart"/>
      <w:r w:rsidRPr="00F80316">
        <w:rPr>
          <w:rFonts w:ascii="Arial" w:eastAsia="Calibri" w:hAnsi="Arial" w:cs="Arial"/>
          <w:sz w:val="18"/>
          <w:szCs w:val="18"/>
        </w:rPr>
        <w:t>Stormwater</w:t>
      </w:r>
      <w:proofErr w:type="spellEnd"/>
      <w:r w:rsidRPr="00F80316">
        <w:rPr>
          <w:rFonts w:ascii="Arial" w:eastAsia="Calibri" w:hAnsi="Arial" w:cs="Arial"/>
          <w:sz w:val="18"/>
          <w:szCs w:val="18"/>
        </w:rPr>
        <w:t xml:space="preserve"> Manual.  The information includes design, construction, and maintenance of pretreatment settling practices and case studies for pretreatment practices.</w:t>
      </w:r>
    </w:p>
    <w:p w:rsidR="00F65115" w:rsidRPr="00F80316" w:rsidRDefault="00F65115" w:rsidP="00F65115">
      <w:pPr>
        <w:widowControl w:val="0"/>
        <w:spacing w:before="120"/>
        <w:ind w:left="720"/>
        <w:rPr>
          <w:rFonts w:ascii="Arial" w:hAnsi="Arial" w:cs="Arial"/>
          <w:b/>
          <w:color w:val="548DD4"/>
          <w:sz w:val="18"/>
          <w:szCs w:val="18"/>
          <w:lang w:bidi="en-US"/>
        </w:rPr>
      </w:pPr>
    </w:p>
    <w:p w:rsidR="00F65115" w:rsidRPr="00F80316" w:rsidRDefault="00F65115" w:rsidP="00F65115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18"/>
          <w:szCs w:val="18"/>
          <w:lang w:bidi="en-US"/>
        </w:rPr>
      </w:pPr>
      <w:r w:rsidRPr="00F80316">
        <w:rPr>
          <w:rFonts w:ascii="Arial" w:hAnsi="Arial" w:cs="Arial"/>
          <w:b/>
          <w:sz w:val="18"/>
          <w:szCs w:val="18"/>
          <w:lang w:bidi="en-US"/>
        </w:rPr>
        <w:t xml:space="preserve">Task A:  Convene a meeting with MPCA and </w:t>
      </w:r>
      <w:r>
        <w:rPr>
          <w:rFonts w:ascii="Arial" w:hAnsi="Arial" w:cs="Arial"/>
          <w:b/>
          <w:sz w:val="18"/>
          <w:szCs w:val="18"/>
          <w:lang w:bidi="en-US"/>
        </w:rPr>
        <w:t xml:space="preserve">a </w:t>
      </w:r>
      <w:r w:rsidRPr="00F80316">
        <w:rPr>
          <w:rFonts w:ascii="Arial" w:hAnsi="Arial" w:cs="Arial"/>
          <w:b/>
          <w:sz w:val="18"/>
          <w:szCs w:val="18"/>
          <w:lang w:bidi="en-US"/>
        </w:rPr>
        <w:t>technical advisory team</w:t>
      </w:r>
      <w:r w:rsidRPr="00F80316">
        <w:rPr>
          <w:rFonts w:ascii="Arial" w:hAnsi="Arial" w:cs="Arial"/>
          <w:sz w:val="18"/>
          <w:szCs w:val="18"/>
          <w:lang w:bidi="en-US"/>
        </w:rPr>
        <w:t xml:space="preserve"> </w:t>
      </w:r>
    </w:p>
    <w:p w:rsidR="00F65115" w:rsidRPr="00F80316" w:rsidRDefault="00F65115" w:rsidP="00F65115">
      <w:pPr>
        <w:widowControl w:val="0"/>
        <w:overflowPunct w:val="0"/>
        <w:autoSpaceDE w:val="0"/>
        <w:autoSpaceDN w:val="0"/>
        <w:adjustRightInd w:val="0"/>
        <w:ind w:left="1080"/>
        <w:textAlignment w:val="baseline"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Convene a </w:t>
      </w:r>
      <w:proofErr w:type="gramStart"/>
      <w:r w:rsidRPr="00F80316">
        <w:rPr>
          <w:rFonts w:ascii="Arial" w:eastAsia="Calibri" w:hAnsi="Arial" w:cs="Arial"/>
          <w:sz w:val="18"/>
          <w:szCs w:val="18"/>
        </w:rPr>
        <w:t>2 hour</w:t>
      </w:r>
      <w:proofErr w:type="gramEnd"/>
      <w:r w:rsidRPr="00F80316">
        <w:rPr>
          <w:rFonts w:ascii="Arial" w:eastAsia="Calibri" w:hAnsi="Arial" w:cs="Arial"/>
          <w:sz w:val="18"/>
          <w:szCs w:val="18"/>
        </w:rPr>
        <w:t xml:space="preserve"> meeting with the MPCA Project Manager (PM), MPCA staff, and a technical team selected by the PM. The purpose of the meeting is to go through the scope of work, identify additional information and data that </w:t>
      </w:r>
      <w:proofErr w:type="gramStart"/>
      <w:r w:rsidRPr="00F80316">
        <w:rPr>
          <w:rFonts w:ascii="Arial" w:eastAsia="Calibri" w:hAnsi="Arial" w:cs="Arial"/>
          <w:sz w:val="18"/>
          <w:szCs w:val="18"/>
        </w:rPr>
        <w:t>can be used</w:t>
      </w:r>
      <w:proofErr w:type="gramEnd"/>
      <w:r w:rsidRPr="00F80316">
        <w:rPr>
          <w:rFonts w:ascii="Arial" w:eastAsia="Calibri" w:hAnsi="Arial" w:cs="Arial"/>
          <w:sz w:val="18"/>
          <w:szCs w:val="18"/>
        </w:rPr>
        <w:t xml:space="preserve"> to meet the tasks, and develop a framework for communication.</w:t>
      </w:r>
    </w:p>
    <w:p w:rsidR="00F65115" w:rsidRPr="00F80316" w:rsidRDefault="00F65115" w:rsidP="00F65115">
      <w:pPr>
        <w:widowControl w:val="0"/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</w:p>
    <w:p w:rsidR="00F65115" w:rsidRPr="00F80316" w:rsidRDefault="00F65115" w:rsidP="00F65115">
      <w:pPr>
        <w:widowControl w:val="0"/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sz w:val="18"/>
          <w:szCs w:val="18"/>
          <w:lang w:bidi="en-US"/>
        </w:rPr>
      </w:pPr>
      <w:r w:rsidRPr="00F80316">
        <w:rPr>
          <w:rFonts w:ascii="Arial" w:hAnsi="Arial" w:cs="Arial"/>
          <w:b/>
          <w:sz w:val="18"/>
          <w:szCs w:val="18"/>
          <w:lang w:bidi="en-US"/>
        </w:rPr>
        <w:t>Task B</w:t>
      </w:r>
      <w:r w:rsidRPr="00F80316">
        <w:rPr>
          <w:rFonts w:ascii="Arial" w:hAnsi="Arial" w:cs="Arial"/>
          <w:sz w:val="18"/>
          <w:szCs w:val="18"/>
          <w:lang w:bidi="en-US"/>
        </w:rPr>
        <w:t xml:space="preserve">:  </w:t>
      </w:r>
      <w:r w:rsidRPr="00F80316">
        <w:rPr>
          <w:rFonts w:ascii="Arial" w:hAnsi="Arial" w:cs="Arial"/>
          <w:b/>
          <w:sz w:val="18"/>
          <w:szCs w:val="18"/>
          <w:lang w:bidi="en-US"/>
        </w:rPr>
        <w:t>Provide information on design, construction, and maintenance of pretreatment settling practices</w:t>
      </w:r>
    </w:p>
    <w:p w:rsidR="00F65115" w:rsidRPr="00F80316" w:rsidRDefault="00F65115" w:rsidP="00F65115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Provide information on design criteria and design considerations, construction guidelines, and maintenance recommendations for pretreatment settling practices. This includes proprietary and non-proprietary practices, including </w:t>
      </w:r>
      <w:proofErr w:type="spellStart"/>
      <w:r w:rsidRPr="00F80316">
        <w:rPr>
          <w:rFonts w:ascii="Arial" w:eastAsia="Calibri" w:hAnsi="Arial" w:cs="Arial"/>
          <w:sz w:val="18"/>
          <w:szCs w:val="18"/>
        </w:rPr>
        <w:t>forebays</w:t>
      </w:r>
      <w:proofErr w:type="spellEnd"/>
      <w:r w:rsidRPr="00F80316">
        <w:rPr>
          <w:rFonts w:ascii="Arial" w:eastAsia="Calibri" w:hAnsi="Arial" w:cs="Arial"/>
          <w:sz w:val="18"/>
          <w:szCs w:val="18"/>
        </w:rPr>
        <w:t>. Include photos, schematics, details or CAD drawings, and other images as necessary or appropriate.</w:t>
      </w:r>
    </w:p>
    <w:p w:rsidR="00F65115" w:rsidRPr="00F80316" w:rsidRDefault="00F65115" w:rsidP="00F65115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</w:p>
    <w:p w:rsidR="00F65115" w:rsidRPr="00F80316" w:rsidRDefault="00F65115" w:rsidP="00F65115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  <w:r w:rsidRPr="00F80316">
        <w:rPr>
          <w:rFonts w:ascii="Arial" w:hAnsi="Arial" w:cs="Arial"/>
          <w:b/>
          <w:sz w:val="18"/>
          <w:szCs w:val="18"/>
          <w:lang w:bidi="en-US"/>
        </w:rPr>
        <w:t xml:space="preserve">Subtask </w:t>
      </w:r>
      <w:proofErr w:type="gramStart"/>
      <w:r w:rsidRPr="00F80316">
        <w:rPr>
          <w:rFonts w:ascii="Arial" w:hAnsi="Arial" w:cs="Arial"/>
          <w:b/>
          <w:sz w:val="18"/>
          <w:szCs w:val="18"/>
          <w:lang w:bidi="en-US"/>
        </w:rPr>
        <w:t>1</w:t>
      </w:r>
      <w:proofErr w:type="gramEnd"/>
    </w:p>
    <w:p w:rsidR="00F65115" w:rsidRPr="00F80316" w:rsidRDefault="00F65115" w:rsidP="00F65115">
      <w:pPr>
        <w:ind w:left="1080"/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Provide information on design criteria and design considerations for pretreatment settling practices. This information is likely to differ for different categories of pretreatment settling practices. Provide a recommendation to the MPCA Project Manager (PM) for categories of settling practices (e.g. </w:t>
      </w:r>
      <w:r w:rsidRPr="00F80316">
        <w:rPr>
          <w:rFonts w:ascii="Arial" w:hAnsi="Arial" w:cs="Arial"/>
          <w:sz w:val="18"/>
          <w:szCs w:val="18"/>
        </w:rPr>
        <w:t xml:space="preserve">water quality inlets, flow-through devices, hydrodynamic separators, grit chambers, </w:t>
      </w:r>
      <w:proofErr w:type="spellStart"/>
      <w:r w:rsidRPr="00F80316">
        <w:rPr>
          <w:rFonts w:ascii="Arial" w:hAnsi="Arial" w:cs="Arial"/>
          <w:sz w:val="18"/>
          <w:szCs w:val="18"/>
        </w:rPr>
        <w:t>forebays</w:t>
      </w:r>
      <w:proofErr w:type="spellEnd"/>
      <w:r w:rsidRPr="00F80316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F80316">
        <w:rPr>
          <w:rFonts w:ascii="Arial" w:hAnsi="Arial" w:cs="Arial"/>
          <w:sz w:val="18"/>
          <w:szCs w:val="18"/>
        </w:rPr>
        <w:t>sump</w:t>
      </w:r>
      <w:proofErr w:type="gramEnd"/>
      <w:r w:rsidRPr="00F80316">
        <w:rPr>
          <w:rFonts w:ascii="Arial" w:hAnsi="Arial" w:cs="Arial"/>
          <w:sz w:val="18"/>
          <w:szCs w:val="18"/>
        </w:rPr>
        <w:t xml:space="preserve"> manholes) </w:t>
      </w:r>
      <w:r w:rsidRPr="00F80316">
        <w:rPr>
          <w:rFonts w:ascii="Arial" w:eastAsia="Calibri" w:hAnsi="Arial" w:cs="Arial"/>
          <w:sz w:val="18"/>
          <w:szCs w:val="18"/>
        </w:rPr>
        <w:t>that warrant individual information on design</w:t>
      </w:r>
      <w:r w:rsidRPr="00F80316">
        <w:rPr>
          <w:rFonts w:ascii="Arial" w:hAnsi="Arial" w:cs="Arial"/>
          <w:sz w:val="18"/>
          <w:szCs w:val="18"/>
        </w:rPr>
        <w:t xml:space="preserve">. Considering the different categories of practices, the design information may </w:t>
      </w:r>
      <w:r w:rsidRPr="00F80316">
        <w:rPr>
          <w:rFonts w:ascii="Arial" w:eastAsia="Calibri" w:hAnsi="Arial" w:cs="Arial"/>
          <w:sz w:val="18"/>
          <w:szCs w:val="18"/>
        </w:rPr>
        <w:t>include specific recommendations, guidelines, or references to example designs. Examples of design criteria to consider include but are not limited to the following.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Acceptable or recommended contributing drainage area to the practice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Recommended or required entrance and discharge velocities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Recommended or required settling velocities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Recommended or required detention times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Sizing criteria adequate to protect downstream BMP(s); consider drainage area, land use, downstream BMP, and ability to enhance the practice to achieve the desired level of pretreatment. Include </w:t>
      </w:r>
      <w:proofErr w:type="gramStart"/>
      <w:r w:rsidRPr="00F80316">
        <w:rPr>
          <w:rFonts w:ascii="Arial" w:eastAsia="Calibri" w:hAnsi="Arial" w:cs="Arial"/>
          <w:sz w:val="18"/>
          <w:szCs w:val="18"/>
        </w:rPr>
        <w:t>example sizing</w:t>
      </w:r>
      <w:proofErr w:type="gramEnd"/>
      <w:r w:rsidRPr="00F80316">
        <w:rPr>
          <w:rFonts w:ascii="Arial" w:eastAsia="Calibri" w:hAnsi="Arial" w:cs="Arial"/>
          <w:sz w:val="18"/>
          <w:szCs w:val="18"/>
        </w:rPr>
        <w:t xml:space="preserve"> calculations if appropriate.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Considering </w:t>
      </w:r>
      <w:proofErr w:type="spellStart"/>
      <w:r w:rsidRPr="00F80316">
        <w:rPr>
          <w:rFonts w:ascii="Arial" w:eastAsia="Calibri" w:hAnsi="Arial" w:cs="Arial"/>
          <w:sz w:val="18"/>
          <w:szCs w:val="18"/>
        </w:rPr>
        <w:t>forebays</w:t>
      </w:r>
      <w:proofErr w:type="spellEnd"/>
      <w:r w:rsidRPr="00F80316">
        <w:rPr>
          <w:rFonts w:ascii="Arial" w:eastAsia="Calibri" w:hAnsi="Arial" w:cs="Arial"/>
          <w:sz w:val="18"/>
          <w:szCs w:val="18"/>
        </w:rPr>
        <w:t xml:space="preserve">, information on </w:t>
      </w:r>
      <w:r w:rsidRPr="00F80316">
        <w:rPr>
          <w:rFonts w:ascii="Arial" w:hAnsi="Arial" w:cs="Arial"/>
          <w:sz w:val="18"/>
          <w:szCs w:val="18"/>
        </w:rPr>
        <w:t xml:space="preserve">earthen berms; gabions, concrete, or riprap walls along the outlet side of the </w:t>
      </w:r>
      <w:proofErr w:type="spellStart"/>
      <w:r w:rsidRPr="00F80316">
        <w:rPr>
          <w:rFonts w:ascii="Arial" w:hAnsi="Arial" w:cs="Arial"/>
          <w:sz w:val="18"/>
          <w:szCs w:val="18"/>
        </w:rPr>
        <w:t>forebay</w:t>
      </w:r>
      <w:proofErr w:type="spellEnd"/>
      <w:r w:rsidRPr="00F80316">
        <w:rPr>
          <w:rFonts w:ascii="Arial" w:hAnsi="Arial" w:cs="Arial"/>
          <w:sz w:val="18"/>
          <w:szCs w:val="18"/>
        </w:rPr>
        <w:t>; designed overflow sections; aquatic benches with emergent vegetation; appropriate slopes; or other features.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Dimensions of the system, such as depth (e.g. for sump catch basins)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Design of inlets, outlets, openings, piping, flow diversion structures, etc., including materials, dimensions, and other considerations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Guidelines for hoods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Recommended materials</w:t>
      </w:r>
    </w:p>
    <w:p w:rsidR="00F65115" w:rsidRPr="00F80316" w:rsidRDefault="00F65115" w:rsidP="00F65115">
      <w:pPr>
        <w:numPr>
          <w:ilvl w:val="0"/>
          <w:numId w:val="1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Recommended layout, including physical location and off-line placement</w:t>
      </w:r>
    </w:p>
    <w:p w:rsidR="00F65115" w:rsidRPr="00F80316" w:rsidRDefault="00F65115" w:rsidP="00F65115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</w:p>
    <w:p w:rsidR="00F65115" w:rsidRPr="00F80316" w:rsidRDefault="00F65115" w:rsidP="00F65115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  <w:r w:rsidRPr="00F80316">
        <w:rPr>
          <w:rFonts w:ascii="Arial" w:hAnsi="Arial" w:cs="Arial"/>
          <w:b/>
          <w:sz w:val="18"/>
          <w:szCs w:val="18"/>
          <w:lang w:bidi="en-US"/>
        </w:rPr>
        <w:t xml:space="preserve">Subtask </w:t>
      </w:r>
      <w:proofErr w:type="gramStart"/>
      <w:r w:rsidRPr="00F80316">
        <w:rPr>
          <w:rFonts w:ascii="Arial" w:hAnsi="Arial" w:cs="Arial"/>
          <w:b/>
          <w:sz w:val="18"/>
          <w:szCs w:val="18"/>
          <w:lang w:bidi="en-US"/>
        </w:rPr>
        <w:t>2</w:t>
      </w:r>
      <w:proofErr w:type="gramEnd"/>
    </w:p>
    <w:p w:rsidR="00F65115" w:rsidRPr="00F80316" w:rsidRDefault="00F65115" w:rsidP="00F65115">
      <w:pPr>
        <w:ind w:left="1080"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Considering the applicability to the category of pretreatment practice </w:t>
      </w:r>
      <w:proofErr w:type="gramStart"/>
      <w:r w:rsidRPr="00F80316">
        <w:rPr>
          <w:rFonts w:ascii="Arial" w:eastAsia="Calibri" w:hAnsi="Arial" w:cs="Arial"/>
          <w:sz w:val="18"/>
          <w:szCs w:val="18"/>
        </w:rPr>
        <w:t>being considered</w:t>
      </w:r>
      <w:proofErr w:type="gramEnd"/>
      <w:r w:rsidRPr="00F80316">
        <w:rPr>
          <w:rFonts w:ascii="Arial" w:eastAsia="Calibri" w:hAnsi="Arial" w:cs="Arial"/>
          <w:sz w:val="18"/>
          <w:szCs w:val="18"/>
        </w:rPr>
        <w:t>, provide information on construction specifications and construction considerations for pretreatment settling practices, including but not limited to the following.</w:t>
      </w:r>
    </w:p>
    <w:p w:rsidR="00F65115" w:rsidRPr="00F80316" w:rsidRDefault="00F65115" w:rsidP="00F65115">
      <w:pPr>
        <w:numPr>
          <w:ilvl w:val="0"/>
          <w:numId w:val="2"/>
        </w:numPr>
        <w:ind w:left="1800"/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Necessary or recommended grading at the site</w:t>
      </w:r>
    </w:p>
    <w:p w:rsidR="00F65115" w:rsidRPr="00F80316" w:rsidRDefault="00F65115" w:rsidP="00F65115">
      <w:pPr>
        <w:numPr>
          <w:ilvl w:val="0"/>
          <w:numId w:val="2"/>
        </w:numPr>
        <w:ind w:left="1800"/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Methods or precautions necessary for protecting the practice during construction</w:t>
      </w:r>
    </w:p>
    <w:p w:rsidR="00F65115" w:rsidRPr="00F80316" w:rsidRDefault="00F65115" w:rsidP="00F65115">
      <w:pPr>
        <w:numPr>
          <w:ilvl w:val="0"/>
          <w:numId w:val="2"/>
        </w:numPr>
        <w:ind w:left="1800"/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Methods for stabilizing the site during construction</w:t>
      </w:r>
    </w:p>
    <w:p w:rsidR="00F65115" w:rsidRPr="00F80316" w:rsidRDefault="00F65115" w:rsidP="00F65115">
      <w:pPr>
        <w:numPr>
          <w:ilvl w:val="0"/>
          <w:numId w:val="2"/>
        </w:numPr>
        <w:ind w:left="1800"/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Requirements or recommendations for ensuring site access, such as an easement</w:t>
      </w:r>
    </w:p>
    <w:p w:rsidR="00F65115" w:rsidRPr="00F80316" w:rsidRDefault="00F65115" w:rsidP="00F65115">
      <w:pPr>
        <w:numPr>
          <w:ilvl w:val="0"/>
          <w:numId w:val="2"/>
        </w:numPr>
        <w:ind w:left="1800"/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Ensuring compaction does not occur or is alleviated following construction</w:t>
      </w:r>
    </w:p>
    <w:p w:rsidR="00F65115" w:rsidRPr="00F80316" w:rsidRDefault="00F65115" w:rsidP="00F65115">
      <w:pPr>
        <w:numPr>
          <w:ilvl w:val="0"/>
          <w:numId w:val="2"/>
        </w:numPr>
        <w:ind w:left="1800"/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For </w:t>
      </w:r>
      <w:proofErr w:type="spellStart"/>
      <w:r w:rsidRPr="00F80316">
        <w:rPr>
          <w:rFonts w:ascii="Arial" w:eastAsia="Calibri" w:hAnsi="Arial" w:cs="Arial"/>
          <w:sz w:val="18"/>
          <w:szCs w:val="18"/>
        </w:rPr>
        <w:t>forebays</w:t>
      </w:r>
      <w:proofErr w:type="spellEnd"/>
      <w:r w:rsidRPr="00F80316">
        <w:rPr>
          <w:rFonts w:ascii="Arial" w:eastAsia="Calibri" w:hAnsi="Arial" w:cs="Arial"/>
          <w:sz w:val="18"/>
          <w:szCs w:val="18"/>
        </w:rPr>
        <w:t>, vegetation establishment, including soil/media, seeding/planting, and initial care and stabilization</w:t>
      </w:r>
    </w:p>
    <w:p w:rsidR="00F65115" w:rsidRPr="00F80316" w:rsidRDefault="00F65115" w:rsidP="00F65115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</w:p>
    <w:p w:rsidR="00F65115" w:rsidRPr="00F80316" w:rsidRDefault="00F65115" w:rsidP="00F65115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  <w:r w:rsidRPr="00F80316">
        <w:rPr>
          <w:rFonts w:ascii="Arial" w:hAnsi="Arial" w:cs="Arial"/>
          <w:b/>
          <w:sz w:val="18"/>
          <w:szCs w:val="18"/>
          <w:lang w:bidi="en-US"/>
        </w:rPr>
        <w:t xml:space="preserve">Subtask </w:t>
      </w:r>
      <w:proofErr w:type="gramStart"/>
      <w:r w:rsidRPr="00F80316">
        <w:rPr>
          <w:rFonts w:ascii="Arial" w:hAnsi="Arial" w:cs="Arial"/>
          <w:b/>
          <w:sz w:val="18"/>
          <w:szCs w:val="18"/>
          <w:lang w:bidi="en-US"/>
        </w:rPr>
        <w:t>3</w:t>
      </w:r>
      <w:proofErr w:type="gramEnd"/>
    </w:p>
    <w:p w:rsidR="00F65115" w:rsidRPr="00F80316" w:rsidRDefault="00F65115" w:rsidP="00F65115">
      <w:pPr>
        <w:ind w:left="1080"/>
        <w:rPr>
          <w:rFonts w:ascii="Arial" w:eastAsia="Calibri" w:hAnsi="Arial" w:cs="Arial"/>
          <w:b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Provide information on recommendations and requirements for maintenance of pretreatment settling practices, including but not limited to the following.</w:t>
      </w:r>
      <w:r w:rsidRPr="00F80316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F65115" w:rsidRPr="00F80316" w:rsidRDefault="00F65115" w:rsidP="00F65115">
      <w:pPr>
        <w:numPr>
          <w:ilvl w:val="0"/>
          <w:numId w:val="3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Frequency of inspections</w:t>
      </w:r>
    </w:p>
    <w:p w:rsidR="00F65115" w:rsidRPr="00F80316" w:rsidRDefault="00F65115" w:rsidP="00F65115">
      <w:pPr>
        <w:numPr>
          <w:ilvl w:val="0"/>
          <w:numId w:val="3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Develop a maintenance checklist for the practice, including recommended frequency of different maintenance activities</w:t>
      </w:r>
    </w:p>
    <w:p w:rsidR="00F65115" w:rsidRPr="00F80316" w:rsidRDefault="00F65115" w:rsidP="00F65115">
      <w:pPr>
        <w:numPr>
          <w:ilvl w:val="0"/>
          <w:numId w:val="3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Necessary or recommended maintenance agreements, easements, and/or deed restrictions. If appropriate, include examples or links to examples.</w:t>
      </w:r>
    </w:p>
    <w:p w:rsidR="00F65115" w:rsidRPr="00F80316" w:rsidRDefault="00F65115" w:rsidP="00F65115">
      <w:pPr>
        <w:numPr>
          <w:ilvl w:val="0"/>
          <w:numId w:val="3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Practices for minimizing and removing sediment buildup</w:t>
      </w:r>
    </w:p>
    <w:p w:rsidR="00F65115" w:rsidRPr="00F80316" w:rsidRDefault="00F65115" w:rsidP="00F65115">
      <w:pPr>
        <w:numPr>
          <w:ilvl w:val="0"/>
          <w:numId w:val="3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Practices for preventing or minimizing washout</w:t>
      </w:r>
    </w:p>
    <w:p w:rsidR="00F65115" w:rsidRPr="00F80316" w:rsidRDefault="00F65115" w:rsidP="00F65115">
      <w:pPr>
        <w:numPr>
          <w:ilvl w:val="0"/>
          <w:numId w:val="3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Practices for preventing and mitigating erosion of the practice</w:t>
      </w:r>
    </w:p>
    <w:p w:rsidR="00F65115" w:rsidRPr="00F80316" w:rsidRDefault="00F65115" w:rsidP="00F65115">
      <w:pPr>
        <w:numPr>
          <w:ilvl w:val="0"/>
          <w:numId w:val="3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For </w:t>
      </w:r>
      <w:proofErr w:type="spellStart"/>
      <w:r w:rsidRPr="00F80316">
        <w:rPr>
          <w:rFonts w:ascii="Arial" w:eastAsia="Calibri" w:hAnsi="Arial" w:cs="Arial"/>
          <w:sz w:val="18"/>
          <w:szCs w:val="18"/>
        </w:rPr>
        <w:t>forebays</w:t>
      </w:r>
      <w:proofErr w:type="spellEnd"/>
      <w:r w:rsidRPr="00F80316">
        <w:rPr>
          <w:rFonts w:ascii="Arial" w:eastAsia="Calibri" w:hAnsi="Arial" w:cs="Arial"/>
          <w:sz w:val="18"/>
          <w:szCs w:val="18"/>
        </w:rPr>
        <w:t>, maintaining vegetation, including maintaining necessary coverage, watering, mowing, pruning, fertilization, mulch addition/replacement, and re-establishment.</w:t>
      </w:r>
    </w:p>
    <w:p w:rsidR="00F65115" w:rsidRPr="00F80316" w:rsidRDefault="00F65115" w:rsidP="00F65115">
      <w:pPr>
        <w:numPr>
          <w:ilvl w:val="0"/>
          <w:numId w:val="3"/>
        </w:numPr>
        <w:contextualSpacing/>
        <w:rPr>
          <w:rFonts w:ascii="Arial" w:eastAsia="Calibri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>Removal of trash and debris</w:t>
      </w:r>
    </w:p>
    <w:p w:rsidR="00F65115" w:rsidRPr="00F80316" w:rsidRDefault="00F65115" w:rsidP="00F65115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18"/>
          <w:szCs w:val="18"/>
          <w:lang w:bidi="en-US"/>
        </w:rPr>
      </w:pPr>
    </w:p>
    <w:p w:rsidR="00F65115" w:rsidRPr="00F80316" w:rsidRDefault="00F65115" w:rsidP="00F65115">
      <w:pPr>
        <w:widowControl w:val="0"/>
        <w:overflowPunct w:val="0"/>
        <w:autoSpaceDE w:val="0"/>
        <w:autoSpaceDN w:val="0"/>
        <w:adjustRightInd w:val="0"/>
        <w:ind w:left="1170" w:right="-144"/>
        <w:textAlignment w:val="baseline"/>
        <w:rPr>
          <w:rFonts w:ascii="Arial" w:hAnsi="Arial" w:cs="Arial"/>
          <w:sz w:val="18"/>
          <w:szCs w:val="18"/>
          <w:lang w:bidi="en-US"/>
        </w:rPr>
      </w:pPr>
      <w:r w:rsidRPr="00F80316">
        <w:rPr>
          <w:rFonts w:ascii="Arial" w:hAnsi="Arial" w:cs="Arial"/>
          <w:b/>
          <w:sz w:val="18"/>
          <w:szCs w:val="18"/>
          <w:lang w:bidi="en-US"/>
        </w:rPr>
        <w:lastRenderedPageBreak/>
        <w:t>Task C: Pretreatment case studies</w:t>
      </w:r>
    </w:p>
    <w:p w:rsidR="00F65115" w:rsidRPr="00F80316" w:rsidRDefault="00F65115" w:rsidP="00F65115">
      <w:pPr>
        <w:ind w:left="1170"/>
        <w:rPr>
          <w:rFonts w:ascii="Arial" w:hAnsi="Arial" w:cs="Arial"/>
          <w:sz w:val="18"/>
          <w:szCs w:val="18"/>
        </w:rPr>
      </w:pPr>
      <w:r w:rsidRPr="00F80316">
        <w:rPr>
          <w:rFonts w:ascii="Arial" w:eastAsia="Calibri" w:hAnsi="Arial" w:cs="Arial"/>
          <w:sz w:val="18"/>
          <w:szCs w:val="18"/>
        </w:rPr>
        <w:t xml:space="preserve">Provide a technical memorandum with </w:t>
      </w:r>
      <w:r w:rsidRPr="00F80316">
        <w:rPr>
          <w:rFonts w:ascii="Arial" w:hAnsi="Arial" w:cs="Arial"/>
          <w:sz w:val="18"/>
          <w:szCs w:val="18"/>
        </w:rPr>
        <w:t>5 to 7 case studies summarizing the use of pretreatment practices, including at least one case study for each of the following practices.</w:t>
      </w:r>
    </w:p>
    <w:p w:rsidR="00F65115" w:rsidRPr="00F80316" w:rsidRDefault="00F65115" w:rsidP="00F651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Vegetated filter strip</w:t>
      </w:r>
    </w:p>
    <w:p w:rsidR="00F65115" w:rsidRPr="00F80316" w:rsidRDefault="00F65115" w:rsidP="00F651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80316">
        <w:rPr>
          <w:rFonts w:ascii="Arial" w:hAnsi="Arial" w:cs="Arial"/>
          <w:sz w:val="18"/>
          <w:szCs w:val="18"/>
        </w:rPr>
        <w:t>Forebay</w:t>
      </w:r>
      <w:proofErr w:type="spellEnd"/>
    </w:p>
    <w:p w:rsidR="00F65115" w:rsidRPr="00F80316" w:rsidRDefault="00F65115" w:rsidP="00F651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Proprietary settling device</w:t>
      </w:r>
    </w:p>
    <w:p w:rsidR="00F65115" w:rsidRPr="00F80316" w:rsidRDefault="00F65115" w:rsidP="00F651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Screen</w:t>
      </w:r>
    </w:p>
    <w:p w:rsidR="00F65115" w:rsidRPr="00F80316" w:rsidRDefault="00F65115" w:rsidP="00F65115">
      <w:pPr>
        <w:ind w:left="108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The case studies shall include the following information.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An overview of the project, including location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Pretreatment practice(s) employed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Post-construction BMP(s) downstream of the pretreatment practice(s)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Reason for selecting the pretreatment practice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Expected performance of the practice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Year of implementation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Description and size of impervious surface discharging to the pretreatment practice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Sizing criteria and/or anticipated pollutant removal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If applicable, summary of design and construction details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Maintenance practices and schedules</w:t>
      </w:r>
    </w:p>
    <w:p w:rsidR="00F65115" w:rsidRPr="00F80316" w:rsidRDefault="00F65115" w:rsidP="00F6511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  <w:sz w:val="18"/>
          <w:szCs w:val="18"/>
        </w:rPr>
      </w:pPr>
      <w:r w:rsidRPr="00F80316">
        <w:rPr>
          <w:rFonts w:ascii="Arial" w:hAnsi="Arial" w:cs="Arial"/>
          <w:sz w:val="18"/>
          <w:szCs w:val="18"/>
        </w:rPr>
        <w:t>Photos and if appropriate, schematics</w:t>
      </w:r>
    </w:p>
    <w:p w:rsidR="00CA0C0B" w:rsidRDefault="00CA0C0B">
      <w:bookmarkStart w:id="0" w:name="_GoBack"/>
      <w:bookmarkEnd w:id="0"/>
    </w:p>
    <w:sectPr w:rsidR="00CA0C0B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30B"/>
    <w:multiLevelType w:val="hybridMultilevel"/>
    <w:tmpl w:val="C824B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F808E9"/>
    <w:multiLevelType w:val="hybridMultilevel"/>
    <w:tmpl w:val="0ED44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AA44E7"/>
    <w:multiLevelType w:val="hybridMultilevel"/>
    <w:tmpl w:val="0C8E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B2E40"/>
    <w:multiLevelType w:val="hybridMultilevel"/>
    <w:tmpl w:val="24762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FD1C38"/>
    <w:multiLevelType w:val="hybridMultilevel"/>
    <w:tmpl w:val="6E38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15"/>
    <w:rsid w:val="00430ED3"/>
    <w:rsid w:val="007952FA"/>
    <w:rsid w:val="00CA0C0B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A0DF"/>
  <w15:chartTrackingRefBased/>
  <w15:docId w15:val="{DD8942EC-BF54-424D-8011-95B1CE0B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 (MPCA)</dc:creator>
  <cp:keywords/>
  <dc:description/>
  <cp:lastModifiedBy>Trojan, Mike (MPCA)</cp:lastModifiedBy>
  <cp:revision>1</cp:revision>
  <dcterms:created xsi:type="dcterms:W3CDTF">2018-10-31T20:57:00Z</dcterms:created>
  <dcterms:modified xsi:type="dcterms:W3CDTF">2018-10-31T20:59:00Z</dcterms:modified>
</cp:coreProperties>
</file>