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11" w:rsidRPr="00A608F0" w:rsidRDefault="00A608F0">
      <w:pPr>
        <w:rPr>
          <w:sz w:val="24"/>
          <w:szCs w:val="24"/>
        </w:rPr>
      </w:pPr>
      <w:r>
        <w:rPr>
          <w:sz w:val="24"/>
          <w:szCs w:val="24"/>
        </w:rPr>
        <w:t xml:space="preserve">This document contains information to assist MS4 </w:t>
      </w:r>
      <w:proofErr w:type="spellStart"/>
      <w:r>
        <w:rPr>
          <w:sz w:val="24"/>
          <w:szCs w:val="24"/>
        </w:rPr>
        <w:t>permittees</w:t>
      </w:r>
      <w:proofErr w:type="spellEnd"/>
      <w:r>
        <w:rPr>
          <w:sz w:val="24"/>
          <w:szCs w:val="24"/>
        </w:rPr>
        <w:t xml:space="preserve"> in determining an appropriate baseline year for all TMDLs approved prior to August 1, 2013. If a year</w:t>
      </w:r>
      <w:r w:rsidR="001A4852">
        <w:rPr>
          <w:sz w:val="24"/>
          <w:szCs w:val="24"/>
        </w:rPr>
        <w:t xml:space="preserve"> is</w:t>
      </w:r>
      <w:r>
        <w:rPr>
          <w:sz w:val="24"/>
          <w:szCs w:val="24"/>
        </w:rPr>
        <w:t xml:space="preserve"> listed in the “Defined baseline year” column, </w:t>
      </w:r>
      <w:r w:rsidR="001A4852">
        <w:rPr>
          <w:sz w:val="24"/>
          <w:szCs w:val="24"/>
        </w:rPr>
        <w:t>the TMDL contains an explicitly defined baseline year that must be used. If no</w:t>
      </w:r>
      <w:r w:rsidR="00EB463C">
        <w:rPr>
          <w:sz w:val="24"/>
          <w:szCs w:val="24"/>
        </w:rPr>
        <w:t>t, a set of monitoring years,</w:t>
      </w:r>
      <w:r w:rsidR="001A4852">
        <w:rPr>
          <w:sz w:val="24"/>
          <w:szCs w:val="24"/>
        </w:rPr>
        <w:t xml:space="preserve"> narrative</w:t>
      </w:r>
      <w:r w:rsidR="00EB463C">
        <w:rPr>
          <w:sz w:val="24"/>
          <w:szCs w:val="24"/>
        </w:rPr>
        <w:t xml:space="preserve"> on appropriate baseline year based on details of the model used to set allocations, or both</w:t>
      </w:r>
      <w:bookmarkStart w:id="0" w:name="_GoBack"/>
      <w:bookmarkEnd w:id="0"/>
      <w:r w:rsidR="001A4852">
        <w:rPr>
          <w:sz w:val="24"/>
          <w:szCs w:val="24"/>
        </w:rPr>
        <w:t xml:space="preserve"> is provided in the following columns. </w:t>
      </w:r>
      <w:r w:rsidR="00EB463C">
        <w:rPr>
          <w:sz w:val="24"/>
          <w:szCs w:val="24"/>
        </w:rPr>
        <w:t xml:space="preserve">Use </w:t>
      </w:r>
      <w:r w:rsidR="001A4852">
        <w:rPr>
          <w:sz w:val="24"/>
          <w:szCs w:val="24"/>
        </w:rPr>
        <w:t xml:space="preserve">best professional judgement when </w:t>
      </w:r>
      <w:r w:rsidR="00EB463C">
        <w:rPr>
          <w:sz w:val="24"/>
          <w:szCs w:val="24"/>
        </w:rPr>
        <w:t>determining</w:t>
      </w:r>
      <w:r w:rsidR="001A4852">
        <w:rPr>
          <w:sz w:val="24"/>
          <w:szCs w:val="24"/>
        </w:rPr>
        <w:t xml:space="preserve"> a baseline year </w:t>
      </w:r>
      <w:r w:rsidR="00EB463C">
        <w:rPr>
          <w:sz w:val="24"/>
          <w:szCs w:val="24"/>
        </w:rPr>
        <w:t>from</w:t>
      </w:r>
      <w:r w:rsidR="001A4852">
        <w:rPr>
          <w:sz w:val="24"/>
          <w:szCs w:val="24"/>
        </w:rPr>
        <w:t xml:space="preserve"> a set of monitoring </w:t>
      </w:r>
      <w:r w:rsidR="00EB463C">
        <w:rPr>
          <w:sz w:val="24"/>
          <w:szCs w:val="24"/>
        </w:rPr>
        <w:t>data.</w:t>
      </w:r>
      <w:r w:rsidR="001A4852">
        <w:rPr>
          <w:sz w:val="24"/>
          <w:szCs w:val="24"/>
        </w:rPr>
        <w:t xml:space="preserve"> MPCA recommends selecting a midpoint or later. </w:t>
      </w:r>
    </w:p>
    <w:p w:rsidR="00C4696A" w:rsidRDefault="00C4696A"/>
    <w:p w:rsidR="00BF77DF" w:rsidRDefault="00BF77DF"/>
    <w:tbl>
      <w:tblPr>
        <w:tblStyle w:val="TableGrid"/>
        <w:tblW w:w="0" w:type="auto"/>
        <w:tblLook w:val="04A0" w:firstRow="1" w:lastRow="0" w:firstColumn="1" w:lastColumn="0" w:noHBand="0" w:noVBand="1"/>
      </w:tblPr>
      <w:tblGrid>
        <w:gridCol w:w="3138"/>
        <w:gridCol w:w="1817"/>
        <w:gridCol w:w="990"/>
        <w:gridCol w:w="2988"/>
        <w:gridCol w:w="5683"/>
      </w:tblGrid>
      <w:tr w:rsidR="00C4696A" w:rsidTr="009469F8">
        <w:trPr>
          <w:trHeight w:val="440"/>
        </w:trPr>
        <w:tc>
          <w:tcPr>
            <w:tcW w:w="3138" w:type="dxa"/>
            <w:shd w:val="clear" w:color="auto" w:fill="548DD4" w:themeFill="text2" w:themeFillTint="99"/>
          </w:tcPr>
          <w:p w:rsidR="00003C88" w:rsidRPr="00BF77DF" w:rsidRDefault="00003C88">
            <w:pPr>
              <w:rPr>
                <w:b/>
              </w:rPr>
            </w:pPr>
            <w:r w:rsidRPr="00BF77DF">
              <w:rPr>
                <w:b/>
              </w:rPr>
              <w:t>Project Name</w:t>
            </w:r>
          </w:p>
        </w:tc>
        <w:tc>
          <w:tcPr>
            <w:tcW w:w="1817" w:type="dxa"/>
            <w:shd w:val="clear" w:color="auto" w:fill="548DD4" w:themeFill="text2" w:themeFillTint="99"/>
          </w:tcPr>
          <w:p w:rsidR="00003C88" w:rsidRDefault="00003C88">
            <w:pPr>
              <w:rPr>
                <w:b/>
              </w:rPr>
            </w:pPr>
            <w:r>
              <w:rPr>
                <w:b/>
              </w:rPr>
              <w:t>Waterbody</w:t>
            </w:r>
            <w:r w:rsidR="00C4696A">
              <w:rPr>
                <w:b/>
              </w:rPr>
              <w:t>/AUID</w:t>
            </w:r>
          </w:p>
          <w:p w:rsidR="00003C88" w:rsidRPr="00BF77DF" w:rsidRDefault="00003C88">
            <w:pPr>
              <w:rPr>
                <w:b/>
              </w:rPr>
            </w:pPr>
          </w:p>
        </w:tc>
        <w:tc>
          <w:tcPr>
            <w:tcW w:w="990" w:type="dxa"/>
            <w:shd w:val="clear" w:color="auto" w:fill="548DD4" w:themeFill="text2" w:themeFillTint="99"/>
          </w:tcPr>
          <w:p w:rsidR="00003C88" w:rsidRPr="00BF77DF" w:rsidRDefault="00003C88">
            <w:pPr>
              <w:rPr>
                <w:b/>
              </w:rPr>
            </w:pPr>
            <w:r w:rsidRPr="00BF77DF">
              <w:rPr>
                <w:b/>
              </w:rPr>
              <w:t>Defined baseline year</w:t>
            </w:r>
          </w:p>
        </w:tc>
        <w:tc>
          <w:tcPr>
            <w:tcW w:w="2988" w:type="dxa"/>
            <w:shd w:val="clear" w:color="auto" w:fill="548DD4" w:themeFill="text2" w:themeFillTint="99"/>
          </w:tcPr>
          <w:p w:rsidR="00003C88" w:rsidRPr="00BF77DF" w:rsidRDefault="00003C88">
            <w:pPr>
              <w:rPr>
                <w:b/>
              </w:rPr>
            </w:pPr>
            <w:r w:rsidRPr="00BF77DF">
              <w:rPr>
                <w:b/>
              </w:rPr>
              <w:t>Monitoring years</w:t>
            </w:r>
          </w:p>
        </w:tc>
        <w:tc>
          <w:tcPr>
            <w:tcW w:w="5683" w:type="dxa"/>
            <w:shd w:val="clear" w:color="auto" w:fill="548DD4" w:themeFill="text2" w:themeFillTint="99"/>
          </w:tcPr>
          <w:p w:rsidR="00003C88" w:rsidRPr="00BF77DF" w:rsidRDefault="00003C88">
            <w:pPr>
              <w:rPr>
                <w:b/>
              </w:rPr>
            </w:pPr>
            <w:r w:rsidRPr="00BF77DF">
              <w:rPr>
                <w:b/>
              </w:rPr>
              <w:t>Notes</w:t>
            </w:r>
          </w:p>
        </w:tc>
      </w:tr>
      <w:tr w:rsidR="00C4696A" w:rsidTr="009469F8">
        <w:tc>
          <w:tcPr>
            <w:tcW w:w="3138" w:type="dxa"/>
            <w:shd w:val="clear" w:color="auto" w:fill="C6D9F1" w:themeFill="text2" w:themeFillTint="33"/>
          </w:tcPr>
          <w:p w:rsidR="00003C88" w:rsidRPr="00003C88" w:rsidRDefault="00003C88" w:rsidP="00BF77DF">
            <w:pPr>
              <w:rPr>
                <w:b/>
              </w:rPr>
            </w:pPr>
            <w:r w:rsidRPr="00003C88">
              <w:rPr>
                <w:b/>
              </w:rPr>
              <w:t>Lower MN River Dissolved Oxygen</w:t>
            </w:r>
          </w:p>
          <w:p w:rsidR="00003C88" w:rsidRPr="00003C88" w:rsidRDefault="00003C88">
            <w:pPr>
              <w:rPr>
                <w:b/>
              </w:rPr>
            </w:pPr>
          </w:p>
        </w:tc>
        <w:tc>
          <w:tcPr>
            <w:tcW w:w="1817" w:type="dxa"/>
          </w:tcPr>
          <w:p w:rsidR="00003C88" w:rsidRDefault="00003C88">
            <w:r>
              <w:t>Minnesota River</w:t>
            </w:r>
          </w:p>
        </w:tc>
        <w:tc>
          <w:tcPr>
            <w:tcW w:w="990" w:type="dxa"/>
          </w:tcPr>
          <w:p w:rsidR="00003C88" w:rsidRDefault="000A51FE">
            <w:r>
              <w:t>n/a</w:t>
            </w:r>
          </w:p>
        </w:tc>
        <w:tc>
          <w:tcPr>
            <w:tcW w:w="2988" w:type="dxa"/>
          </w:tcPr>
          <w:p w:rsidR="00003C88" w:rsidRDefault="00C4696A">
            <w:r>
              <w:t>1981-1999</w:t>
            </w:r>
          </w:p>
        </w:tc>
        <w:tc>
          <w:tcPr>
            <w:tcW w:w="5683" w:type="dxa"/>
          </w:tcPr>
          <w:p w:rsidR="00003C88" w:rsidRPr="00155166" w:rsidRDefault="00C4696A">
            <w:r w:rsidRPr="00155166">
              <w:rPr>
                <w:rFonts w:cs="Times New Roman"/>
              </w:rPr>
              <w:t>The model used to set WLAs (Hydrologic Simulation Program Fortran or HSPF) was calibrated to various data collected between 1981 and 1999.  The year 1988 was considered to be most representative of low flow conditions that result in oxygen depletion in the river.  The TMDL report states “Therefore, a two-month critical low flow period of August and September 1988 was selected to represent the meteorological conditions and hydrologic response for this TMDL”.  The implementation plan states that the modeling assumed no BMPs in place and that all BMPs would therefore be credited.  However, the model was calibrated to 1988 conditions, which therefore reflects BMPs in place in 1988.</w:t>
            </w:r>
          </w:p>
        </w:tc>
      </w:tr>
      <w:tr w:rsidR="000A51FE" w:rsidTr="009469F8">
        <w:trPr>
          <w:trHeight w:val="20"/>
        </w:trPr>
        <w:tc>
          <w:tcPr>
            <w:tcW w:w="3138" w:type="dxa"/>
            <w:vMerge w:val="restart"/>
            <w:shd w:val="clear" w:color="auto" w:fill="C6D9F1" w:themeFill="text2" w:themeFillTint="33"/>
          </w:tcPr>
          <w:p w:rsidR="000A51FE" w:rsidRPr="00003C88" w:rsidRDefault="000A51FE">
            <w:pPr>
              <w:rPr>
                <w:b/>
              </w:rPr>
            </w:pPr>
            <w:r w:rsidRPr="00003C88">
              <w:rPr>
                <w:b/>
              </w:rPr>
              <w:t>Lower Mississippi River Basin - Fecal Coliform</w:t>
            </w: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07040001-506</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85-</w:t>
            </w:r>
            <w:r>
              <w:rPr>
                <w:rFonts w:eastAsia="Times New Roman" w:cs="Times New Roman"/>
                <w:color w:val="000000"/>
              </w:rPr>
              <w:t>19</w:t>
            </w:r>
            <w:r w:rsidRPr="003D4587">
              <w:rPr>
                <w:rFonts w:eastAsia="Times New Roman" w:cs="Times New Roman"/>
                <w:color w:val="000000"/>
              </w:rPr>
              <w:t>95</w:t>
            </w:r>
          </w:p>
        </w:tc>
        <w:tc>
          <w:tcPr>
            <w:tcW w:w="5683" w:type="dxa"/>
            <w:vMerge w:val="restart"/>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07040001-507</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83-</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07040002-502</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83-</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07040002-503</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88-</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07040002-504</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89-</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07040002-505</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99-</w:t>
            </w:r>
            <w:r>
              <w:rPr>
                <w:rFonts w:eastAsia="Times New Roman" w:cs="Times New Roman"/>
                <w:color w:val="000000"/>
              </w:rPr>
              <w:t>20</w:t>
            </w:r>
            <w:r w:rsidRPr="003D4587">
              <w:rPr>
                <w:rFonts w:eastAsia="Times New Roman" w:cs="Times New Roman"/>
                <w:color w:val="000000"/>
              </w:rPr>
              <w:t>00</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07040002-509</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98,</w:t>
            </w:r>
            <w:r>
              <w:rPr>
                <w:rFonts w:eastAsia="Times New Roman" w:cs="Times New Roman"/>
                <w:color w:val="000000"/>
              </w:rPr>
              <w:t>20</w:t>
            </w:r>
            <w:r w:rsidRPr="003D4587">
              <w:rPr>
                <w:rFonts w:eastAsia="Times New Roman" w:cs="Times New Roman"/>
                <w:color w:val="000000"/>
              </w:rPr>
              <w:t>01,</w:t>
            </w:r>
            <w:r>
              <w:rPr>
                <w:rFonts w:eastAsia="Times New Roman" w:cs="Times New Roman"/>
                <w:color w:val="000000"/>
              </w:rPr>
              <w:t>20</w:t>
            </w:r>
            <w:r w:rsidRPr="003D4587">
              <w:rPr>
                <w:rFonts w:eastAsia="Times New Roman" w:cs="Times New Roman"/>
                <w:color w:val="000000"/>
              </w:rPr>
              <w:t>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07040002-512</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97-</w:t>
            </w:r>
            <w:r>
              <w:rPr>
                <w:rFonts w:eastAsia="Times New Roman" w:cs="Times New Roman"/>
                <w:color w:val="000000"/>
              </w:rPr>
              <w:t>19</w:t>
            </w:r>
            <w:r w:rsidRPr="003D4587">
              <w:rPr>
                <w:rFonts w:eastAsia="Times New Roman" w:cs="Times New Roman"/>
                <w:color w:val="000000"/>
              </w:rPr>
              <w:t>98</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07040002-513</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1998</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07040002-515</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99-</w:t>
            </w:r>
            <w:r>
              <w:rPr>
                <w:rFonts w:eastAsia="Times New Roman" w:cs="Times New Roman"/>
                <w:color w:val="000000"/>
              </w:rPr>
              <w:t>20</w:t>
            </w:r>
            <w:r w:rsidRPr="003D4587">
              <w:rPr>
                <w:rFonts w:eastAsia="Times New Roman" w:cs="Times New Roman"/>
                <w:color w:val="000000"/>
              </w:rPr>
              <w:t>00</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07040002-516</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99-</w:t>
            </w:r>
            <w:r>
              <w:rPr>
                <w:rFonts w:eastAsia="Times New Roman" w:cs="Times New Roman"/>
                <w:color w:val="000000"/>
              </w:rPr>
              <w:t>20</w:t>
            </w:r>
            <w:r w:rsidRPr="003D4587">
              <w:rPr>
                <w:rFonts w:eastAsia="Times New Roman" w:cs="Times New Roman"/>
                <w:color w:val="000000"/>
              </w:rPr>
              <w:t>00</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07040002-517</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99-</w:t>
            </w:r>
            <w:r>
              <w:rPr>
                <w:rFonts w:eastAsia="Times New Roman" w:cs="Times New Roman"/>
                <w:color w:val="000000"/>
              </w:rPr>
              <w:t>20</w:t>
            </w:r>
            <w:r w:rsidRPr="003D4587">
              <w:rPr>
                <w:rFonts w:eastAsia="Times New Roman" w:cs="Times New Roman"/>
                <w:color w:val="000000"/>
              </w:rPr>
              <w:t>00</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07040002-518</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99-</w:t>
            </w:r>
            <w:r>
              <w:rPr>
                <w:rFonts w:eastAsia="Times New Roman" w:cs="Times New Roman"/>
                <w:color w:val="000000"/>
              </w:rPr>
              <w:t>20</w:t>
            </w:r>
            <w:r w:rsidRPr="003D4587">
              <w:rPr>
                <w:rFonts w:eastAsia="Times New Roman" w:cs="Times New Roman"/>
                <w:color w:val="000000"/>
              </w:rPr>
              <w:t>00</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07040002-519</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99-</w:t>
            </w:r>
            <w:r>
              <w:rPr>
                <w:rFonts w:eastAsia="Times New Roman" w:cs="Times New Roman"/>
                <w:color w:val="000000"/>
              </w:rPr>
              <w:t>20</w:t>
            </w:r>
            <w:r w:rsidRPr="003D4587">
              <w:rPr>
                <w:rFonts w:eastAsia="Times New Roman" w:cs="Times New Roman"/>
                <w:color w:val="000000"/>
              </w:rPr>
              <w:t>00</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07040002-528</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99-</w:t>
            </w:r>
            <w:r>
              <w:rPr>
                <w:rFonts w:eastAsia="Times New Roman" w:cs="Times New Roman"/>
                <w:color w:val="000000"/>
              </w:rPr>
              <w:t>20</w:t>
            </w:r>
            <w:r w:rsidRPr="003D4587">
              <w:rPr>
                <w:rFonts w:eastAsia="Times New Roman" w:cs="Times New Roman"/>
                <w:color w:val="000000"/>
              </w:rPr>
              <w:t>00</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07040002-535</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20</w:t>
            </w:r>
            <w:r w:rsidRPr="003D4587">
              <w:rPr>
                <w:rFonts w:eastAsia="Times New Roman" w:cs="Times New Roman"/>
                <w:color w:val="000000"/>
              </w:rPr>
              <w:t>00-</w:t>
            </w:r>
            <w:r>
              <w:rPr>
                <w:rFonts w:eastAsia="Times New Roman" w:cs="Times New Roman"/>
                <w:color w:val="000000"/>
              </w:rPr>
              <w:t>20</w:t>
            </w:r>
            <w:r w:rsidRPr="003D4587">
              <w:rPr>
                <w:rFonts w:eastAsia="Times New Roman" w:cs="Times New Roman"/>
                <w:color w:val="000000"/>
              </w:rPr>
              <w:t>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07040003-505</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83-</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07040003-512</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20</w:t>
            </w:r>
            <w:r w:rsidRPr="003D4587">
              <w:rPr>
                <w:rFonts w:eastAsia="Times New Roman" w:cs="Times New Roman"/>
                <w:color w:val="000000"/>
              </w:rPr>
              <w:t>00-</w:t>
            </w:r>
            <w:r>
              <w:rPr>
                <w:rFonts w:eastAsia="Times New Roman" w:cs="Times New Roman"/>
                <w:color w:val="000000"/>
              </w:rPr>
              <w:t>20</w:t>
            </w:r>
            <w:r w:rsidRPr="003D4587">
              <w:rPr>
                <w:rFonts w:eastAsia="Times New Roman" w:cs="Times New Roman"/>
                <w:color w:val="000000"/>
              </w:rPr>
              <w:t>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07040003-514</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20</w:t>
            </w:r>
            <w:r w:rsidRPr="003D4587">
              <w:rPr>
                <w:rFonts w:eastAsia="Times New Roman" w:cs="Times New Roman"/>
                <w:color w:val="000000"/>
              </w:rPr>
              <w:t>00-</w:t>
            </w:r>
            <w:r>
              <w:rPr>
                <w:rFonts w:eastAsia="Times New Roman" w:cs="Times New Roman"/>
                <w:color w:val="000000"/>
              </w:rPr>
              <w:t>20</w:t>
            </w:r>
            <w:r w:rsidRPr="003D4587">
              <w:rPr>
                <w:rFonts w:eastAsia="Times New Roman" w:cs="Times New Roman"/>
                <w:color w:val="000000"/>
              </w:rPr>
              <w:t>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07040003-536</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20</w:t>
            </w:r>
            <w:r w:rsidRPr="003D4587">
              <w:rPr>
                <w:rFonts w:eastAsia="Times New Roman" w:cs="Times New Roman"/>
                <w:color w:val="000000"/>
              </w:rPr>
              <w:t>00-</w:t>
            </w:r>
            <w:r>
              <w:rPr>
                <w:rFonts w:eastAsia="Times New Roman" w:cs="Times New Roman"/>
                <w:color w:val="000000"/>
              </w:rPr>
              <w:t>20</w:t>
            </w:r>
            <w:r w:rsidRPr="003D4587">
              <w:rPr>
                <w:rFonts w:eastAsia="Times New Roman" w:cs="Times New Roman"/>
                <w:color w:val="000000"/>
              </w:rPr>
              <w:t>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07040003-542</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83-</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07040003-553</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20</w:t>
            </w:r>
            <w:r w:rsidRPr="003D4587">
              <w:rPr>
                <w:rFonts w:eastAsia="Times New Roman" w:cs="Times New Roman"/>
                <w:color w:val="000000"/>
              </w:rPr>
              <w:t>00-</w:t>
            </w:r>
            <w:r>
              <w:rPr>
                <w:rFonts w:eastAsia="Times New Roman" w:cs="Times New Roman"/>
                <w:color w:val="000000"/>
              </w:rPr>
              <w:t>20</w:t>
            </w:r>
            <w:r w:rsidRPr="003D4587">
              <w:rPr>
                <w:rFonts w:eastAsia="Times New Roman" w:cs="Times New Roman"/>
                <w:color w:val="000000"/>
              </w:rPr>
              <w:t>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07040003-554</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85-</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07040003-559</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20</w:t>
            </w:r>
            <w:r w:rsidRPr="003D4587">
              <w:rPr>
                <w:rFonts w:eastAsia="Times New Roman" w:cs="Times New Roman"/>
                <w:color w:val="000000"/>
              </w:rPr>
              <w:t>00-</w:t>
            </w:r>
            <w:r>
              <w:rPr>
                <w:rFonts w:eastAsia="Times New Roman" w:cs="Times New Roman"/>
                <w:color w:val="000000"/>
              </w:rPr>
              <w:t>20</w:t>
            </w:r>
            <w:r w:rsidRPr="003D4587">
              <w:rPr>
                <w:rFonts w:eastAsia="Times New Roman" w:cs="Times New Roman"/>
                <w:color w:val="000000"/>
              </w:rPr>
              <w:t>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07040004-501</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2002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07040004-502</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2002</w:t>
            </w:r>
          </w:p>
        </w:tc>
        <w:tc>
          <w:tcPr>
            <w:tcW w:w="5683" w:type="dxa"/>
            <w:vMerge/>
          </w:tcPr>
          <w:p w:rsidR="000A51FE" w:rsidRDefault="000A51FE"/>
        </w:tc>
      </w:tr>
      <w:tr w:rsidR="000A51FE" w:rsidTr="009469F8">
        <w:trPr>
          <w:trHeight w:val="3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07040004-503</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89-</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07040004-507</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83-</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07040004-533</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2001</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07040004-535</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2001</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07040004-536</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2001</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07040008-501</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83-</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07040008-503</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87-</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07040008-521</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2002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07040008-555</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99-</w:t>
            </w:r>
            <w:r>
              <w:rPr>
                <w:rFonts w:eastAsia="Times New Roman" w:cs="Times New Roman"/>
                <w:color w:val="000000"/>
              </w:rPr>
              <w:t>20</w:t>
            </w:r>
            <w:r w:rsidRPr="003D4587">
              <w:rPr>
                <w:rFonts w:eastAsia="Times New Roman" w:cs="Times New Roman"/>
                <w:color w:val="000000"/>
              </w:rPr>
              <w:t>02</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07040008-586</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99-</w:t>
            </w:r>
            <w:r>
              <w:rPr>
                <w:rFonts w:eastAsia="Times New Roman" w:cs="Times New Roman"/>
                <w:color w:val="000000"/>
              </w:rPr>
              <w:t>20</w:t>
            </w:r>
            <w:r w:rsidRPr="003D4587">
              <w:rPr>
                <w:rFonts w:eastAsia="Times New Roman" w:cs="Times New Roman"/>
                <w:color w:val="000000"/>
              </w:rPr>
              <w:t>01</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07080201-501</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86-</w:t>
            </w:r>
            <w:r>
              <w:rPr>
                <w:rFonts w:eastAsia="Times New Roman" w:cs="Times New Roman"/>
                <w:color w:val="000000"/>
              </w:rPr>
              <w:t>19</w:t>
            </w:r>
            <w:r w:rsidRPr="003D4587">
              <w:rPr>
                <w:rFonts w:eastAsia="Times New Roman" w:cs="Times New Roman"/>
                <w:color w:val="000000"/>
              </w:rPr>
              <w:t>94</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07080201-502</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86-</w:t>
            </w:r>
            <w:r>
              <w:rPr>
                <w:rFonts w:eastAsia="Times New Roman" w:cs="Times New Roman"/>
                <w:color w:val="000000"/>
              </w:rPr>
              <w:t>19</w:t>
            </w:r>
            <w:r w:rsidRPr="003D4587">
              <w:rPr>
                <w:rFonts w:eastAsia="Times New Roman" w:cs="Times New Roman"/>
                <w:color w:val="000000"/>
              </w:rPr>
              <w:t>94</w:t>
            </w:r>
          </w:p>
        </w:tc>
        <w:tc>
          <w:tcPr>
            <w:tcW w:w="5683" w:type="dxa"/>
            <w:vMerge/>
          </w:tcPr>
          <w:p w:rsidR="000A51FE" w:rsidRDefault="000A51FE"/>
        </w:tc>
      </w:tr>
      <w:tr w:rsidR="000A51FE" w:rsidTr="009469F8">
        <w:trPr>
          <w:trHeight w:val="20"/>
        </w:trPr>
        <w:tc>
          <w:tcPr>
            <w:tcW w:w="3138" w:type="dxa"/>
            <w:vMerge/>
            <w:shd w:val="clear" w:color="auto" w:fill="C6D9F1" w:themeFill="text2" w:themeFillTint="33"/>
          </w:tcPr>
          <w:p w:rsidR="000A51FE" w:rsidRPr="00003C88" w:rsidRDefault="000A51FE">
            <w:pPr>
              <w:rPr>
                <w:b/>
              </w:rPr>
            </w:pPr>
          </w:p>
        </w:tc>
        <w:tc>
          <w:tcPr>
            <w:tcW w:w="1817" w:type="dxa"/>
            <w:vAlign w:val="bottom"/>
          </w:tcPr>
          <w:p w:rsidR="000A51FE" w:rsidRPr="003D4587" w:rsidRDefault="000A51FE" w:rsidP="003D4587">
            <w:pPr>
              <w:rPr>
                <w:rFonts w:eastAsia="Times New Roman" w:cs="Times New Roman"/>
                <w:color w:val="000000"/>
              </w:rPr>
            </w:pPr>
            <w:r w:rsidRPr="003D4587">
              <w:rPr>
                <w:rFonts w:eastAsia="Times New Roman" w:cs="Times New Roman"/>
                <w:color w:val="000000"/>
              </w:rPr>
              <w:t>07080202-501</w:t>
            </w:r>
          </w:p>
        </w:tc>
        <w:tc>
          <w:tcPr>
            <w:tcW w:w="990" w:type="dxa"/>
          </w:tcPr>
          <w:p w:rsidR="000A51FE" w:rsidRDefault="000A51FE">
            <w:r w:rsidRPr="00A0190B">
              <w:t>n/a</w:t>
            </w:r>
          </w:p>
        </w:tc>
        <w:tc>
          <w:tcPr>
            <w:tcW w:w="2988" w:type="dxa"/>
            <w:vAlign w:val="bottom"/>
          </w:tcPr>
          <w:p w:rsidR="000A51FE" w:rsidRPr="003D4587" w:rsidRDefault="000A51FE" w:rsidP="003D4587">
            <w:pPr>
              <w:rPr>
                <w:rFonts w:eastAsia="Times New Roman" w:cs="Times New Roman"/>
                <w:color w:val="000000"/>
              </w:rPr>
            </w:pPr>
            <w:r>
              <w:rPr>
                <w:rFonts w:eastAsia="Times New Roman" w:cs="Times New Roman"/>
                <w:color w:val="000000"/>
              </w:rPr>
              <w:t>19</w:t>
            </w:r>
            <w:r w:rsidRPr="003D4587">
              <w:rPr>
                <w:rFonts w:eastAsia="Times New Roman" w:cs="Times New Roman"/>
                <w:color w:val="000000"/>
              </w:rPr>
              <w:t>83-</w:t>
            </w:r>
            <w:r>
              <w:rPr>
                <w:rFonts w:eastAsia="Times New Roman" w:cs="Times New Roman"/>
                <w:color w:val="000000"/>
              </w:rPr>
              <w:t>19</w:t>
            </w:r>
            <w:r w:rsidRPr="003D4587">
              <w:rPr>
                <w:rFonts w:eastAsia="Times New Roman" w:cs="Times New Roman"/>
                <w:color w:val="000000"/>
              </w:rPr>
              <w:t>93</w:t>
            </w:r>
          </w:p>
        </w:tc>
        <w:tc>
          <w:tcPr>
            <w:tcW w:w="5683" w:type="dxa"/>
            <w:vMerge/>
          </w:tcPr>
          <w:p w:rsidR="000A51FE" w:rsidRDefault="000A51FE"/>
        </w:tc>
      </w:tr>
      <w:tr w:rsidR="000A51FE" w:rsidTr="009469F8">
        <w:tc>
          <w:tcPr>
            <w:tcW w:w="3138" w:type="dxa"/>
            <w:shd w:val="clear" w:color="auto" w:fill="C6D9F1" w:themeFill="text2" w:themeFillTint="33"/>
          </w:tcPr>
          <w:p w:rsidR="000A51FE" w:rsidRPr="00003C88" w:rsidRDefault="000A51FE">
            <w:pPr>
              <w:rPr>
                <w:b/>
              </w:rPr>
            </w:pPr>
            <w:r w:rsidRPr="00003C88">
              <w:rPr>
                <w:b/>
              </w:rPr>
              <w:t>Chippewa River – Fecal Coliform</w:t>
            </w:r>
          </w:p>
        </w:tc>
        <w:tc>
          <w:tcPr>
            <w:tcW w:w="1817" w:type="dxa"/>
          </w:tcPr>
          <w:p w:rsidR="000A51FE" w:rsidRPr="008620E4" w:rsidRDefault="000A51FE">
            <w:r w:rsidRPr="008620E4">
              <w:rPr>
                <w:rFonts w:eastAsia="Calibri" w:cs="Times New Roman"/>
              </w:rPr>
              <w:t>07070005-501</w:t>
            </w:r>
          </w:p>
        </w:tc>
        <w:tc>
          <w:tcPr>
            <w:tcW w:w="990" w:type="dxa"/>
          </w:tcPr>
          <w:p w:rsidR="000A51FE" w:rsidRDefault="000A51FE">
            <w:r w:rsidRPr="00A0190B">
              <w:t>n/a</w:t>
            </w:r>
          </w:p>
        </w:tc>
        <w:tc>
          <w:tcPr>
            <w:tcW w:w="2988" w:type="dxa"/>
          </w:tcPr>
          <w:p w:rsidR="000A51FE" w:rsidRDefault="000A51FE">
            <w:r>
              <w:t>1999 – 2005</w:t>
            </w:r>
          </w:p>
        </w:tc>
        <w:tc>
          <w:tcPr>
            <w:tcW w:w="5683" w:type="dxa"/>
          </w:tcPr>
          <w:p w:rsidR="000A51FE" w:rsidRDefault="000A51FE"/>
        </w:tc>
      </w:tr>
      <w:tr w:rsidR="000A51FE" w:rsidTr="009469F8">
        <w:tc>
          <w:tcPr>
            <w:tcW w:w="3138" w:type="dxa"/>
            <w:shd w:val="clear" w:color="auto" w:fill="C6D9F1" w:themeFill="text2" w:themeFillTint="33"/>
          </w:tcPr>
          <w:p w:rsidR="000A51FE" w:rsidRPr="00003C88" w:rsidRDefault="000A51FE">
            <w:pPr>
              <w:rPr>
                <w:b/>
              </w:rPr>
            </w:pPr>
            <w:r w:rsidRPr="00003C88">
              <w:rPr>
                <w:b/>
              </w:rPr>
              <w:t>Shingle Creek – Chloride</w:t>
            </w:r>
          </w:p>
        </w:tc>
        <w:tc>
          <w:tcPr>
            <w:tcW w:w="1817" w:type="dxa"/>
          </w:tcPr>
          <w:p w:rsidR="000A51FE" w:rsidRPr="00F622C1" w:rsidRDefault="000A51FE" w:rsidP="00F622C1">
            <w:r w:rsidRPr="00F622C1">
              <w:t>07010206-506</w:t>
            </w:r>
          </w:p>
          <w:p w:rsidR="000A51FE" w:rsidRDefault="000A51FE"/>
        </w:tc>
        <w:tc>
          <w:tcPr>
            <w:tcW w:w="990" w:type="dxa"/>
          </w:tcPr>
          <w:p w:rsidR="000A51FE" w:rsidRDefault="000A51FE">
            <w:r w:rsidRPr="00A0190B">
              <w:t>n/a</w:t>
            </w:r>
          </w:p>
        </w:tc>
        <w:tc>
          <w:tcPr>
            <w:tcW w:w="2988" w:type="dxa"/>
          </w:tcPr>
          <w:p w:rsidR="000A51FE" w:rsidRDefault="005C51B4">
            <w:r>
              <w:t>2002-2003</w:t>
            </w:r>
          </w:p>
        </w:tc>
        <w:tc>
          <w:tcPr>
            <w:tcW w:w="5683" w:type="dxa"/>
          </w:tcPr>
          <w:p w:rsidR="000A51FE" w:rsidRDefault="000A51FE">
            <w:r>
              <w:rPr>
                <w:rFonts w:ascii="Times New Roman" w:eastAsia="Calibri" w:hAnsi="Times New Roman" w:cs="Times New Roman"/>
                <w:sz w:val="24"/>
                <w:szCs w:val="24"/>
              </w:rPr>
              <w:t>M</w:t>
            </w:r>
            <w:r w:rsidRPr="00243789">
              <w:rPr>
                <w:rFonts w:ascii="Times New Roman" w:eastAsia="Calibri" w:hAnsi="Times New Roman" w:cs="Times New Roman"/>
                <w:sz w:val="24"/>
                <w:szCs w:val="24"/>
              </w:rPr>
              <w:t>onitoring of conductivity, chloride and discharge was performed from late November 2002 through August of 2003.</w:t>
            </w:r>
          </w:p>
        </w:tc>
      </w:tr>
      <w:tr w:rsidR="000A51FE" w:rsidTr="009469F8">
        <w:tc>
          <w:tcPr>
            <w:tcW w:w="3138" w:type="dxa"/>
            <w:shd w:val="clear" w:color="auto" w:fill="C6D9F1" w:themeFill="text2" w:themeFillTint="33"/>
          </w:tcPr>
          <w:p w:rsidR="000A51FE" w:rsidRPr="00003C88" w:rsidRDefault="000A51FE">
            <w:pPr>
              <w:rPr>
                <w:b/>
              </w:rPr>
            </w:pPr>
            <w:r w:rsidRPr="00003C88">
              <w:rPr>
                <w:b/>
              </w:rPr>
              <w:t>Sunrise River (North Branch) – Fecal Coliform</w:t>
            </w:r>
          </w:p>
        </w:tc>
        <w:tc>
          <w:tcPr>
            <w:tcW w:w="1817" w:type="dxa"/>
          </w:tcPr>
          <w:p w:rsidR="000A51FE" w:rsidRDefault="000A51FE">
            <w:r w:rsidRPr="00B73FBC">
              <w:rPr>
                <w:iCs/>
              </w:rPr>
              <w:t>07030005-501</w:t>
            </w:r>
          </w:p>
        </w:tc>
        <w:tc>
          <w:tcPr>
            <w:tcW w:w="990" w:type="dxa"/>
          </w:tcPr>
          <w:p w:rsidR="000A51FE" w:rsidRDefault="000A51FE">
            <w:r w:rsidRPr="00A0190B">
              <w:t>n/a</w:t>
            </w:r>
          </w:p>
        </w:tc>
        <w:tc>
          <w:tcPr>
            <w:tcW w:w="2988" w:type="dxa"/>
          </w:tcPr>
          <w:p w:rsidR="000A51FE" w:rsidRDefault="000A51FE">
            <w:r>
              <w:t>2002-2003</w:t>
            </w:r>
          </w:p>
        </w:tc>
        <w:tc>
          <w:tcPr>
            <w:tcW w:w="5683" w:type="dxa"/>
          </w:tcPr>
          <w:p w:rsidR="000A51FE" w:rsidRDefault="000A51FE"/>
        </w:tc>
      </w:tr>
      <w:tr w:rsidR="000A51FE" w:rsidTr="009469F8">
        <w:tc>
          <w:tcPr>
            <w:tcW w:w="3138" w:type="dxa"/>
            <w:shd w:val="clear" w:color="auto" w:fill="C6D9F1" w:themeFill="text2" w:themeFillTint="33"/>
          </w:tcPr>
          <w:p w:rsidR="000A51FE" w:rsidRPr="00003C88" w:rsidRDefault="000A51FE">
            <w:pPr>
              <w:rPr>
                <w:b/>
              </w:rPr>
            </w:pPr>
            <w:r w:rsidRPr="00003C88">
              <w:rPr>
                <w:b/>
              </w:rPr>
              <w:t>Lake Independence: Excess Nutrients</w:t>
            </w:r>
          </w:p>
        </w:tc>
        <w:tc>
          <w:tcPr>
            <w:tcW w:w="1817" w:type="dxa"/>
          </w:tcPr>
          <w:p w:rsidR="000A51FE" w:rsidRDefault="000A51FE" w:rsidP="003031D5">
            <w:r>
              <w:t>Lake Independence</w:t>
            </w:r>
          </w:p>
          <w:p w:rsidR="000A51FE" w:rsidRDefault="000A51FE" w:rsidP="003031D5"/>
        </w:tc>
        <w:tc>
          <w:tcPr>
            <w:tcW w:w="990" w:type="dxa"/>
          </w:tcPr>
          <w:p w:rsidR="000A51FE" w:rsidRDefault="000A51FE">
            <w:r w:rsidRPr="00A0190B">
              <w:t>n/a</w:t>
            </w:r>
          </w:p>
        </w:tc>
        <w:tc>
          <w:tcPr>
            <w:tcW w:w="2988" w:type="dxa"/>
          </w:tcPr>
          <w:p w:rsidR="000A51FE" w:rsidRDefault="000A51FE"/>
          <w:p w:rsidR="000304A7" w:rsidRDefault="000304A7"/>
        </w:tc>
        <w:tc>
          <w:tcPr>
            <w:tcW w:w="5683" w:type="dxa"/>
          </w:tcPr>
          <w:p w:rsidR="000A51FE" w:rsidRPr="003031D5" w:rsidRDefault="000A51FE">
            <w:r w:rsidRPr="003031D5">
              <w:rPr>
                <w:rFonts w:cs="Times New Roman"/>
              </w:rPr>
              <w:t>The BATHTUB model was calibrated using storm inflow data collected in 2001.  The year 2001 therefore is an appropriate baseline</w:t>
            </w:r>
            <w:r>
              <w:rPr>
                <w:rFonts w:cs="Times New Roman"/>
              </w:rPr>
              <w:t>.</w:t>
            </w:r>
          </w:p>
        </w:tc>
      </w:tr>
      <w:tr w:rsidR="000A51FE" w:rsidTr="009469F8">
        <w:tc>
          <w:tcPr>
            <w:tcW w:w="3138" w:type="dxa"/>
            <w:shd w:val="clear" w:color="auto" w:fill="C6D9F1" w:themeFill="text2" w:themeFillTint="33"/>
          </w:tcPr>
          <w:p w:rsidR="000A51FE" w:rsidRPr="00003C88" w:rsidRDefault="000A51FE" w:rsidP="00BF77DF">
            <w:pPr>
              <w:rPr>
                <w:b/>
              </w:rPr>
            </w:pPr>
            <w:r w:rsidRPr="00003C88">
              <w:rPr>
                <w:b/>
              </w:rPr>
              <w:t>Carver-</w:t>
            </w:r>
            <w:proofErr w:type="spellStart"/>
            <w:r w:rsidRPr="00003C88">
              <w:rPr>
                <w:b/>
              </w:rPr>
              <w:t>Bevens</w:t>
            </w:r>
            <w:proofErr w:type="spellEnd"/>
            <w:r w:rsidRPr="00003C88">
              <w:rPr>
                <w:b/>
              </w:rPr>
              <w:t xml:space="preserve">-Silver Creek TMDL: Fecal Coliform </w:t>
            </w:r>
          </w:p>
          <w:p w:rsidR="000A51FE" w:rsidRPr="00003C88" w:rsidRDefault="000A51FE">
            <w:pPr>
              <w:rPr>
                <w:b/>
              </w:rPr>
            </w:pPr>
          </w:p>
        </w:tc>
        <w:tc>
          <w:tcPr>
            <w:tcW w:w="1817" w:type="dxa"/>
          </w:tcPr>
          <w:p w:rsidR="000A51FE" w:rsidRDefault="000A51FE">
            <w:r>
              <w:t xml:space="preserve">Carver, </w:t>
            </w:r>
            <w:proofErr w:type="spellStart"/>
            <w:r>
              <w:t>Bevens</w:t>
            </w:r>
            <w:proofErr w:type="spellEnd"/>
            <w:r>
              <w:t>, and Silver creek</w:t>
            </w:r>
          </w:p>
        </w:tc>
        <w:tc>
          <w:tcPr>
            <w:tcW w:w="990" w:type="dxa"/>
          </w:tcPr>
          <w:p w:rsidR="000A51FE" w:rsidRDefault="000A51FE">
            <w:r w:rsidRPr="00A0190B">
              <w:t>n/a</w:t>
            </w:r>
          </w:p>
        </w:tc>
        <w:tc>
          <w:tcPr>
            <w:tcW w:w="2988" w:type="dxa"/>
          </w:tcPr>
          <w:p w:rsidR="000A51FE" w:rsidRDefault="000A51FE">
            <w:r>
              <w:t>1997-2003</w:t>
            </w:r>
          </w:p>
        </w:tc>
        <w:tc>
          <w:tcPr>
            <w:tcW w:w="5683" w:type="dxa"/>
          </w:tcPr>
          <w:p w:rsidR="000A51FE" w:rsidRPr="003031D5" w:rsidRDefault="000A51FE" w:rsidP="003031D5">
            <w:r w:rsidRPr="003031D5">
              <w:t>Data utilized for the development of this TMDL we</w:t>
            </w:r>
            <w:r>
              <w:t xml:space="preserve">re   </w:t>
            </w:r>
            <w:r w:rsidRPr="003031D5">
              <w:t xml:space="preserve">collected between May of 1997 through September 2004. </w:t>
            </w:r>
          </w:p>
          <w:p w:rsidR="000A51FE" w:rsidRPr="003031D5" w:rsidRDefault="000A51FE" w:rsidP="003031D5">
            <w:r w:rsidRPr="003031D5">
              <w:t xml:space="preserve">Although data prior to these dates may </w:t>
            </w:r>
            <w:r>
              <w:t xml:space="preserve">exist, the more </w:t>
            </w:r>
            <w:r w:rsidRPr="003031D5">
              <w:t>recent data were belie</w:t>
            </w:r>
            <w:r>
              <w:t xml:space="preserve">ved to better represent current </w:t>
            </w:r>
            <w:r w:rsidRPr="003031D5">
              <w:t>conditions in the watershed.</w:t>
            </w:r>
          </w:p>
          <w:p w:rsidR="000A51FE" w:rsidRDefault="000A51FE"/>
        </w:tc>
      </w:tr>
      <w:tr w:rsidR="000A51FE" w:rsidTr="009469F8">
        <w:trPr>
          <w:trHeight w:val="270"/>
        </w:trPr>
        <w:tc>
          <w:tcPr>
            <w:tcW w:w="3138" w:type="dxa"/>
            <w:vMerge w:val="restart"/>
            <w:shd w:val="clear" w:color="auto" w:fill="C6D9F1" w:themeFill="text2" w:themeFillTint="33"/>
          </w:tcPr>
          <w:p w:rsidR="000A51FE" w:rsidRPr="00003C88" w:rsidRDefault="000A51FE" w:rsidP="00BF77DF">
            <w:pPr>
              <w:rPr>
                <w:b/>
              </w:rPr>
            </w:pPr>
            <w:r w:rsidRPr="00003C88">
              <w:rPr>
                <w:b/>
              </w:rPr>
              <w:t xml:space="preserve">Lower Cannon River: Turbidity </w:t>
            </w:r>
          </w:p>
          <w:p w:rsidR="000A51FE" w:rsidRPr="00003C88" w:rsidRDefault="000A51FE" w:rsidP="00BF77DF">
            <w:pPr>
              <w:rPr>
                <w:b/>
              </w:rPr>
            </w:pPr>
          </w:p>
        </w:tc>
        <w:tc>
          <w:tcPr>
            <w:tcW w:w="1817" w:type="dxa"/>
          </w:tcPr>
          <w:p w:rsidR="000A51FE" w:rsidRDefault="000A51FE">
            <w:r>
              <w:t>07040001-511</w:t>
            </w:r>
          </w:p>
        </w:tc>
        <w:tc>
          <w:tcPr>
            <w:tcW w:w="990" w:type="dxa"/>
          </w:tcPr>
          <w:p w:rsidR="000A51FE" w:rsidRDefault="000A51FE">
            <w:r w:rsidRPr="006D69F9">
              <w:t>n/a</w:t>
            </w:r>
          </w:p>
        </w:tc>
        <w:tc>
          <w:tcPr>
            <w:tcW w:w="2988" w:type="dxa"/>
            <w:vMerge w:val="restart"/>
          </w:tcPr>
          <w:p w:rsidR="000A51FE" w:rsidRDefault="000A51FE" w:rsidP="00BF77DF">
            <w:r>
              <w:t>1991 – 2004</w:t>
            </w:r>
          </w:p>
          <w:p w:rsidR="000A51FE" w:rsidRDefault="000A51FE"/>
        </w:tc>
        <w:tc>
          <w:tcPr>
            <w:tcW w:w="5683" w:type="dxa"/>
            <w:vMerge w:val="restart"/>
          </w:tcPr>
          <w:p w:rsidR="000A51FE" w:rsidRDefault="000A51FE"/>
        </w:tc>
      </w:tr>
      <w:tr w:rsidR="000A51FE" w:rsidTr="009469F8">
        <w:trPr>
          <w:trHeight w:val="270"/>
        </w:trPr>
        <w:tc>
          <w:tcPr>
            <w:tcW w:w="3138" w:type="dxa"/>
            <w:vMerge/>
            <w:shd w:val="clear" w:color="auto" w:fill="C6D9F1" w:themeFill="text2" w:themeFillTint="33"/>
          </w:tcPr>
          <w:p w:rsidR="000A51FE" w:rsidRPr="00003C88" w:rsidRDefault="000A51FE" w:rsidP="00BF77DF">
            <w:pPr>
              <w:rPr>
                <w:b/>
              </w:rPr>
            </w:pPr>
          </w:p>
        </w:tc>
        <w:tc>
          <w:tcPr>
            <w:tcW w:w="1817" w:type="dxa"/>
          </w:tcPr>
          <w:p w:rsidR="000A51FE" w:rsidRDefault="000A51FE">
            <w:r>
              <w:t>07050002-502</w:t>
            </w:r>
          </w:p>
        </w:tc>
        <w:tc>
          <w:tcPr>
            <w:tcW w:w="990" w:type="dxa"/>
          </w:tcPr>
          <w:p w:rsidR="000A51FE" w:rsidRDefault="000A51FE">
            <w:r w:rsidRPr="006D69F9">
              <w:t>n/a</w:t>
            </w:r>
          </w:p>
        </w:tc>
        <w:tc>
          <w:tcPr>
            <w:tcW w:w="2988" w:type="dxa"/>
            <w:vMerge/>
          </w:tcPr>
          <w:p w:rsidR="000A51FE" w:rsidRDefault="000A51FE" w:rsidP="00BF77DF"/>
        </w:tc>
        <w:tc>
          <w:tcPr>
            <w:tcW w:w="5683" w:type="dxa"/>
            <w:vMerge/>
          </w:tcPr>
          <w:p w:rsidR="000A51FE" w:rsidRDefault="000A51FE"/>
        </w:tc>
      </w:tr>
      <w:tr w:rsidR="000A51FE" w:rsidTr="009469F8">
        <w:tc>
          <w:tcPr>
            <w:tcW w:w="3138" w:type="dxa"/>
            <w:shd w:val="clear" w:color="auto" w:fill="C6D9F1" w:themeFill="text2" w:themeFillTint="33"/>
          </w:tcPr>
          <w:p w:rsidR="000A51FE" w:rsidRPr="00003C88" w:rsidRDefault="000A51FE" w:rsidP="00BF77DF">
            <w:pPr>
              <w:rPr>
                <w:b/>
              </w:rPr>
            </w:pPr>
            <w:r w:rsidRPr="00003C88">
              <w:rPr>
                <w:b/>
              </w:rPr>
              <w:t>Twin and Ryan Lakes – Excess Nutrients</w:t>
            </w:r>
          </w:p>
        </w:tc>
        <w:tc>
          <w:tcPr>
            <w:tcW w:w="1817" w:type="dxa"/>
          </w:tcPr>
          <w:p w:rsidR="000A51FE" w:rsidRDefault="000A51FE" w:rsidP="00BF77DF">
            <w:r>
              <w:t>All</w:t>
            </w:r>
          </w:p>
        </w:tc>
        <w:tc>
          <w:tcPr>
            <w:tcW w:w="990" w:type="dxa"/>
          </w:tcPr>
          <w:p w:rsidR="000A51FE" w:rsidRDefault="000A51FE">
            <w:r w:rsidRPr="00A0190B">
              <w:t>n/a</w:t>
            </w:r>
          </w:p>
        </w:tc>
        <w:tc>
          <w:tcPr>
            <w:tcW w:w="2988" w:type="dxa"/>
          </w:tcPr>
          <w:p w:rsidR="000A51FE" w:rsidRDefault="000304A7">
            <w:r>
              <w:t>1996 and 1999</w:t>
            </w:r>
          </w:p>
        </w:tc>
        <w:tc>
          <w:tcPr>
            <w:tcW w:w="5683" w:type="dxa"/>
          </w:tcPr>
          <w:p w:rsidR="000A51FE" w:rsidRDefault="000A51FE">
            <w:r w:rsidRPr="00902C13">
              <w:t xml:space="preserve">The TMDL report states that the P8 model was developed using 1999 conditions.  Furthermore, 1999 was considered </w:t>
            </w:r>
            <w:r w:rsidRPr="00902C13">
              <w:lastRenderedPageBreak/>
              <w:t>an average year in terms of precipitation.</w:t>
            </w:r>
          </w:p>
        </w:tc>
      </w:tr>
      <w:tr w:rsidR="000A51FE" w:rsidTr="009469F8">
        <w:trPr>
          <w:trHeight w:val="42"/>
        </w:trPr>
        <w:tc>
          <w:tcPr>
            <w:tcW w:w="3138" w:type="dxa"/>
            <w:vMerge w:val="restart"/>
            <w:shd w:val="clear" w:color="auto" w:fill="C6D9F1" w:themeFill="text2" w:themeFillTint="33"/>
          </w:tcPr>
          <w:p w:rsidR="000A51FE" w:rsidRPr="00003C88" w:rsidRDefault="000A51FE" w:rsidP="00BF77DF">
            <w:pPr>
              <w:rPr>
                <w:b/>
              </w:rPr>
            </w:pPr>
            <w:r w:rsidRPr="00003C88">
              <w:rPr>
                <w:b/>
              </w:rPr>
              <w:lastRenderedPageBreak/>
              <w:t>Blue Earth River: Fecal Coliform</w:t>
            </w:r>
          </w:p>
        </w:tc>
        <w:tc>
          <w:tcPr>
            <w:tcW w:w="1817" w:type="dxa"/>
            <w:vAlign w:val="center"/>
          </w:tcPr>
          <w:p w:rsidR="000A51FE" w:rsidRPr="001F6675" w:rsidRDefault="000A51FE" w:rsidP="001F6675">
            <w:pPr>
              <w:rPr>
                <w:rFonts w:eastAsia="Times New Roman" w:cs="Times New Roman"/>
                <w:color w:val="000000"/>
              </w:rPr>
            </w:pPr>
            <w:r w:rsidRPr="001F6675">
              <w:rPr>
                <w:rFonts w:eastAsia="Times New Roman" w:cs="Times New Roman"/>
                <w:color w:val="000000"/>
              </w:rPr>
              <w:t>07020009-501</w:t>
            </w:r>
          </w:p>
        </w:tc>
        <w:tc>
          <w:tcPr>
            <w:tcW w:w="990" w:type="dxa"/>
          </w:tcPr>
          <w:p w:rsidR="000A51FE" w:rsidRDefault="000A51FE">
            <w:r w:rsidRPr="000A5D4D">
              <w:t>n/a</w:t>
            </w:r>
          </w:p>
        </w:tc>
        <w:tc>
          <w:tcPr>
            <w:tcW w:w="2988" w:type="dxa"/>
          </w:tcPr>
          <w:p w:rsidR="000A51FE" w:rsidRPr="009E5453" w:rsidRDefault="000A51FE" w:rsidP="00262D9B">
            <w:r w:rsidRPr="009E5453">
              <w:t>1995 – 2004</w:t>
            </w:r>
          </w:p>
        </w:tc>
        <w:tc>
          <w:tcPr>
            <w:tcW w:w="5683" w:type="dxa"/>
            <w:vMerge w:val="restart"/>
          </w:tcPr>
          <w:p w:rsidR="000A51FE" w:rsidRDefault="000A51FE" w:rsidP="00902C13"/>
        </w:tc>
      </w:tr>
      <w:tr w:rsidR="000A51FE" w:rsidTr="009469F8">
        <w:trPr>
          <w:trHeight w:val="38"/>
        </w:trPr>
        <w:tc>
          <w:tcPr>
            <w:tcW w:w="3138" w:type="dxa"/>
            <w:vMerge/>
            <w:shd w:val="clear" w:color="auto" w:fill="C6D9F1" w:themeFill="text2" w:themeFillTint="33"/>
          </w:tcPr>
          <w:p w:rsidR="000A51FE" w:rsidRPr="00003C88" w:rsidRDefault="000A51FE" w:rsidP="00BF77DF">
            <w:pPr>
              <w:rPr>
                <w:b/>
              </w:rPr>
            </w:pPr>
          </w:p>
        </w:tc>
        <w:tc>
          <w:tcPr>
            <w:tcW w:w="1817" w:type="dxa"/>
            <w:vAlign w:val="center"/>
          </w:tcPr>
          <w:p w:rsidR="000A51FE" w:rsidRPr="001F6675" w:rsidRDefault="000A51FE" w:rsidP="001F6675">
            <w:pPr>
              <w:rPr>
                <w:rFonts w:eastAsia="Times New Roman" w:cs="Times New Roman"/>
                <w:color w:val="000000"/>
              </w:rPr>
            </w:pPr>
            <w:r w:rsidRPr="001F6675">
              <w:rPr>
                <w:rFonts w:eastAsia="Times New Roman" w:cs="Times New Roman"/>
                <w:color w:val="000000"/>
              </w:rPr>
              <w:t>07020009-526</w:t>
            </w:r>
          </w:p>
        </w:tc>
        <w:tc>
          <w:tcPr>
            <w:tcW w:w="990" w:type="dxa"/>
          </w:tcPr>
          <w:p w:rsidR="000A51FE" w:rsidRDefault="000A51FE">
            <w:r w:rsidRPr="000A5D4D">
              <w:t>n/a</w:t>
            </w:r>
          </w:p>
        </w:tc>
        <w:tc>
          <w:tcPr>
            <w:tcW w:w="2988" w:type="dxa"/>
          </w:tcPr>
          <w:p w:rsidR="000A51FE" w:rsidRPr="009E5453" w:rsidRDefault="000A51FE" w:rsidP="00262D9B">
            <w:r w:rsidRPr="009E5453">
              <w:t>2000 – 2001</w:t>
            </w:r>
          </w:p>
        </w:tc>
        <w:tc>
          <w:tcPr>
            <w:tcW w:w="5683" w:type="dxa"/>
            <w:vMerge/>
          </w:tcPr>
          <w:p w:rsidR="000A51FE" w:rsidRDefault="000A51FE" w:rsidP="00902C13"/>
        </w:tc>
      </w:tr>
      <w:tr w:rsidR="000A51FE" w:rsidTr="009469F8">
        <w:trPr>
          <w:trHeight w:val="38"/>
        </w:trPr>
        <w:tc>
          <w:tcPr>
            <w:tcW w:w="3138" w:type="dxa"/>
            <w:vMerge/>
            <w:shd w:val="clear" w:color="auto" w:fill="C6D9F1" w:themeFill="text2" w:themeFillTint="33"/>
          </w:tcPr>
          <w:p w:rsidR="000A51FE" w:rsidRPr="00003C88" w:rsidRDefault="000A51FE" w:rsidP="00BF77DF">
            <w:pPr>
              <w:rPr>
                <w:b/>
              </w:rPr>
            </w:pPr>
          </w:p>
        </w:tc>
        <w:tc>
          <w:tcPr>
            <w:tcW w:w="1817" w:type="dxa"/>
            <w:vAlign w:val="center"/>
          </w:tcPr>
          <w:p w:rsidR="000A51FE" w:rsidRPr="001F6675" w:rsidRDefault="000A51FE" w:rsidP="001F6675">
            <w:pPr>
              <w:rPr>
                <w:rFonts w:eastAsia="Times New Roman" w:cs="Times New Roman"/>
                <w:color w:val="000000"/>
              </w:rPr>
            </w:pPr>
            <w:r w:rsidRPr="001F6675">
              <w:rPr>
                <w:rFonts w:eastAsia="Times New Roman" w:cs="Times New Roman"/>
                <w:color w:val="000000"/>
              </w:rPr>
              <w:t>07020009-503</w:t>
            </w:r>
          </w:p>
        </w:tc>
        <w:tc>
          <w:tcPr>
            <w:tcW w:w="990" w:type="dxa"/>
          </w:tcPr>
          <w:p w:rsidR="000A51FE" w:rsidRDefault="000A51FE">
            <w:r w:rsidRPr="000A5D4D">
              <w:t>n/a</w:t>
            </w:r>
          </w:p>
        </w:tc>
        <w:tc>
          <w:tcPr>
            <w:tcW w:w="2988" w:type="dxa"/>
          </w:tcPr>
          <w:p w:rsidR="000A51FE" w:rsidRPr="009E5453" w:rsidRDefault="000A51FE" w:rsidP="00262D9B">
            <w:r w:rsidRPr="009E5453">
              <w:t>2002 – 2004</w:t>
            </w:r>
          </w:p>
        </w:tc>
        <w:tc>
          <w:tcPr>
            <w:tcW w:w="5683" w:type="dxa"/>
            <w:vMerge/>
          </w:tcPr>
          <w:p w:rsidR="000A51FE" w:rsidRDefault="000A51FE" w:rsidP="00902C13"/>
        </w:tc>
      </w:tr>
      <w:tr w:rsidR="000A51FE" w:rsidTr="009469F8">
        <w:trPr>
          <w:trHeight w:val="38"/>
        </w:trPr>
        <w:tc>
          <w:tcPr>
            <w:tcW w:w="3138" w:type="dxa"/>
            <w:vMerge/>
            <w:shd w:val="clear" w:color="auto" w:fill="C6D9F1" w:themeFill="text2" w:themeFillTint="33"/>
          </w:tcPr>
          <w:p w:rsidR="000A51FE" w:rsidRPr="00003C88" w:rsidRDefault="000A51FE" w:rsidP="00BF77DF">
            <w:pPr>
              <w:rPr>
                <w:b/>
              </w:rPr>
            </w:pPr>
          </w:p>
        </w:tc>
        <w:tc>
          <w:tcPr>
            <w:tcW w:w="1817" w:type="dxa"/>
            <w:vAlign w:val="center"/>
          </w:tcPr>
          <w:p w:rsidR="000A51FE" w:rsidRPr="001F6675" w:rsidRDefault="000A51FE" w:rsidP="001F6675">
            <w:pPr>
              <w:rPr>
                <w:rFonts w:eastAsia="Times New Roman" w:cs="Times New Roman"/>
                <w:color w:val="000000"/>
              </w:rPr>
            </w:pPr>
            <w:r w:rsidRPr="001F6675">
              <w:rPr>
                <w:rFonts w:eastAsia="Times New Roman" w:cs="Times New Roman"/>
                <w:color w:val="000000"/>
              </w:rPr>
              <w:t>07020009-527</w:t>
            </w:r>
          </w:p>
        </w:tc>
        <w:tc>
          <w:tcPr>
            <w:tcW w:w="990" w:type="dxa"/>
          </w:tcPr>
          <w:p w:rsidR="000A51FE" w:rsidRDefault="000A51FE">
            <w:r w:rsidRPr="000A5D4D">
              <w:t>n/a</w:t>
            </w:r>
          </w:p>
        </w:tc>
        <w:tc>
          <w:tcPr>
            <w:tcW w:w="2988" w:type="dxa"/>
          </w:tcPr>
          <w:p w:rsidR="000A51FE" w:rsidRPr="009E5453" w:rsidRDefault="000A51FE" w:rsidP="00262D9B">
            <w:r w:rsidRPr="009E5453">
              <w:t>2002 – 2004</w:t>
            </w:r>
          </w:p>
        </w:tc>
        <w:tc>
          <w:tcPr>
            <w:tcW w:w="5683" w:type="dxa"/>
            <w:vMerge/>
          </w:tcPr>
          <w:p w:rsidR="000A51FE" w:rsidRDefault="000A51FE" w:rsidP="00902C13"/>
        </w:tc>
      </w:tr>
      <w:tr w:rsidR="000A51FE" w:rsidTr="009469F8">
        <w:trPr>
          <w:trHeight w:val="38"/>
        </w:trPr>
        <w:tc>
          <w:tcPr>
            <w:tcW w:w="3138" w:type="dxa"/>
            <w:vMerge/>
            <w:shd w:val="clear" w:color="auto" w:fill="C6D9F1" w:themeFill="text2" w:themeFillTint="33"/>
          </w:tcPr>
          <w:p w:rsidR="000A51FE" w:rsidRPr="00003C88" w:rsidRDefault="000A51FE" w:rsidP="00BF77DF">
            <w:pPr>
              <w:rPr>
                <w:b/>
              </w:rPr>
            </w:pPr>
          </w:p>
        </w:tc>
        <w:tc>
          <w:tcPr>
            <w:tcW w:w="1817" w:type="dxa"/>
            <w:vAlign w:val="center"/>
          </w:tcPr>
          <w:p w:rsidR="000A51FE" w:rsidRPr="001F6675" w:rsidRDefault="000A51FE" w:rsidP="001F6675">
            <w:pPr>
              <w:rPr>
                <w:rFonts w:eastAsia="Times New Roman" w:cs="Times New Roman"/>
                <w:color w:val="000000"/>
              </w:rPr>
            </w:pPr>
            <w:r w:rsidRPr="001F6675">
              <w:rPr>
                <w:rFonts w:eastAsia="Times New Roman" w:cs="Times New Roman"/>
                <w:color w:val="000000"/>
              </w:rPr>
              <w:t>07020009-525</w:t>
            </w:r>
          </w:p>
        </w:tc>
        <w:tc>
          <w:tcPr>
            <w:tcW w:w="990" w:type="dxa"/>
          </w:tcPr>
          <w:p w:rsidR="000A51FE" w:rsidRDefault="000A51FE">
            <w:r w:rsidRPr="000A5D4D">
              <w:t>n/a</w:t>
            </w:r>
          </w:p>
        </w:tc>
        <w:tc>
          <w:tcPr>
            <w:tcW w:w="2988" w:type="dxa"/>
          </w:tcPr>
          <w:p w:rsidR="000A51FE" w:rsidRPr="009E5453" w:rsidRDefault="000A51FE" w:rsidP="00262D9B">
            <w:r w:rsidRPr="009E5453">
              <w:t>2000 – 2002</w:t>
            </w:r>
          </w:p>
        </w:tc>
        <w:tc>
          <w:tcPr>
            <w:tcW w:w="5683" w:type="dxa"/>
            <w:vMerge/>
          </w:tcPr>
          <w:p w:rsidR="000A51FE" w:rsidRDefault="000A51FE" w:rsidP="00902C13"/>
        </w:tc>
      </w:tr>
      <w:tr w:rsidR="000A51FE" w:rsidTr="009469F8">
        <w:trPr>
          <w:trHeight w:val="38"/>
        </w:trPr>
        <w:tc>
          <w:tcPr>
            <w:tcW w:w="3138" w:type="dxa"/>
            <w:vMerge/>
            <w:shd w:val="clear" w:color="auto" w:fill="C6D9F1" w:themeFill="text2" w:themeFillTint="33"/>
          </w:tcPr>
          <w:p w:rsidR="000A51FE" w:rsidRPr="00003C88" w:rsidRDefault="000A51FE" w:rsidP="00BF77DF">
            <w:pPr>
              <w:rPr>
                <w:b/>
              </w:rPr>
            </w:pPr>
          </w:p>
        </w:tc>
        <w:tc>
          <w:tcPr>
            <w:tcW w:w="1817" w:type="dxa"/>
            <w:vAlign w:val="center"/>
          </w:tcPr>
          <w:p w:rsidR="000A51FE" w:rsidRPr="001F6675" w:rsidRDefault="000A51FE" w:rsidP="001F6675">
            <w:pPr>
              <w:rPr>
                <w:rFonts w:eastAsia="Times New Roman" w:cs="Times New Roman"/>
                <w:color w:val="000000"/>
              </w:rPr>
            </w:pPr>
            <w:r w:rsidRPr="001F6675">
              <w:rPr>
                <w:rFonts w:eastAsia="Times New Roman" w:cs="Times New Roman"/>
                <w:color w:val="000000"/>
              </w:rPr>
              <w:t>07020009-509</w:t>
            </w:r>
          </w:p>
        </w:tc>
        <w:tc>
          <w:tcPr>
            <w:tcW w:w="990" w:type="dxa"/>
          </w:tcPr>
          <w:p w:rsidR="000A51FE" w:rsidRDefault="000A51FE">
            <w:r w:rsidRPr="000A5D4D">
              <w:t>n/a</w:t>
            </w:r>
          </w:p>
        </w:tc>
        <w:tc>
          <w:tcPr>
            <w:tcW w:w="2988" w:type="dxa"/>
          </w:tcPr>
          <w:p w:rsidR="000A51FE" w:rsidRPr="009E5453" w:rsidRDefault="000A51FE" w:rsidP="00262D9B">
            <w:r w:rsidRPr="009E5453">
              <w:t>2004</w:t>
            </w:r>
          </w:p>
        </w:tc>
        <w:tc>
          <w:tcPr>
            <w:tcW w:w="5683" w:type="dxa"/>
            <w:vMerge/>
          </w:tcPr>
          <w:p w:rsidR="000A51FE" w:rsidRDefault="000A51FE" w:rsidP="00902C13"/>
        </w:tc>
      </w:tr>
      <w:tr w:rsidR="000A51FE" w:rsidTr="009469F8">
        <w:trPr>
          <w:trHeight w:val="38"/>
        </w:trPr>
        <w:tc>
          <w:tcPr>
            <w:tcW w:w="3138" w:type="dxa"/>
            <w:vMerge/>
            <w:shd w:val="clear" w:color="auto" w:fill="C6D9F1" w:themeFill="text2" w:themeFillTint="33"/>
          </w:tcPr>
          <w:p w:rsidR="000A51FE" w:rsidRPr="00003C88" w:rsidRDefault="000A51FE" w:rsidP="00BF77DF">
            <w:pPr>
              <w:rPr>
                <w:b/>
              </w:rPr>
            </w:pPr>
          </w:p>
        </w:tc>
        <w:tc>
          <w:tcPr>
            <w:tcW w:w="1817" w:type="dxa"/>
            <w:vAlign w:val="center"/>
          </w:tcPr>
          <w:p w:rsidR="000A51FE" w:rsidRPr="001F6675" w:rsidRDefault="000A51FE" w:rsidP="001F6675">
            <w:pPr>
              <w:rPr>
                <w:rFonts w:eastAsia="Times New Roman" w:cs="Times New Roman"/>
                <w:color w:val="000000"/>
              </w:rPr>
            </w:pPr>
            <w:r w:rsidRPr="001F6675">
              <w:rPr>
                <w:rFonts w:eastAsia="Times New Roman" w:cs="Times New Roman"/>
                <w:color w:val="000000"/>
              </w:rPr>
              <w:t>07020011-501</w:t>
            </w:r>
          </w:p>
        </w:tc>
        <w:tc>
          <w:tcPr>
            <w:tcW w:w="990" w:type="dxa"/>
          </w:tcPr>
          <w:p w:rsidR="000A51FE" w:rsidRDefault="000A51FE">
            <w:r w:rsidRPr="000A5D4D">
              <w:t>n/a</w:t>
            </w:r>
          </w:p>
        </w:tc>
        <w:tc>
          <w:tcPr>
            <w:tcW w:w="2988" w:type="dxa"/>
          </w:tcPr>
          <w:p w:rsidR="000A51FE" w:rsidRDefault="000A51FE" w:rsidP="00262D9B">
            <w:r w:rsidRPr="009E5453">
              <w:t>2004</w:t>
            </w:r>
          </w:p>
        </w:tc>
        <w:tc>
          <w:tcPr>
            <w:tcW w:w="5683" w:type="dxa"/>
            <w:vMerge/>
          </w:tcPr>
          <w:p w:rsidR="000A51FE" w:rsidRDefault="000A51FE" w:rsidP="00902C13"/>
        </w:tc>
      </w:tr>
      <w:tr w:rsidR="001F6675" w:rsidTr="009469F8">
        <w:tc>
          <w:tcPr>
            <w:tcW w:w="3138" w:type="dxa"/>
            <w:shd w:val="clear" w:color="auto" w:fill="C6D9F1" w:themeFill="text2" w:themeFillTint="33"/>
          </w:tcPr>
          <w:p w:rsidR="001F6675" w:rsidRPr="00003C88" w:rsidRDefault="001F6675" w:rsidP="00981D93">
            <w:pPr>
              <w:rPr>
                <w:b/>
              </w:rPr>
            </w:pPr>
            <w:proofErr w:type="spellStart"/>
            <w:r w:rsidRPr="00003C88">
              <w:rPr>
                <w:b/>
              </w:rPr>
              <w:t>Pomme</w:t>
            </w:r>
            <w:proofErr w:type="spellEnd"/>
            <w:r w:rsidRPr="00003C88">
              <w:rPr>
                <w:b/>
              </w:rPr>
              <w:t xml:space="preserve"> de Terre River – Fecal Coliform </w:t>
            </w:r>
          </w:p>
          <w:p w:rsidR="001F6675" w:rsidRPr="00003C88" w:rsidRDefault="001F6675" w:rsidP="00BF77DF">
            <w:pPr>
              <w:rPr>
                <w:b/>
              </w:rPr>
            </w:pPr>
          </w:p>
        </w:tc>
        <w:tc>
          <w:tcPr>
            <w:tcW w:w="1817" w:type="dxa"/>
          </w:tcPr>
          <w:p w:rsidR="001F6675" w:rsidRDefault="000A51FE">
            <w:r>
              <w:t>07020002-501</w:t>
            </w:r>
          </w:p>
        </w:tc>
        <w:tc>
          <w:tcPr>
            <w:tcW w:w="990" w:type="dxa"/>
          </w:tcPr>
          <w:p w:rsidR="001F6675" w:rsidRDefault="000A51FE">
            <w:r>
              <w:t>n/a</w:t>
            </w:r>
          </w:p>
        </w:tc>
        <w:tc>
          <w:tcPr>
            <w:tcW w:w="2988" w:type="dxa"/>
          </w:tcPr>
          <w:p w:rsidR="008D5A33" w:rsidRDefault="008D5A33">
            <w:r>
              <w:t>1970-2005</w:t>
            </w:r>
          </w:p>
        </w:tc>
        <w:tc>
          <w:tcPr>
            <w:tcW w:w="5683" w:type="dxa"/>
          </w:tcPr>
          <w:p w:rsidR="000A51FE" w:rsidRPr="000A51FE" w:rsidRDefault="000A51FE" w:rsidP="000A51FE">
            <w:r w:rsidRPr="000A51FE">
              <w:t>The flow monitoring data used in this</w:t>
            </w:r>
            <w:r>
              <w:t xml:space="preserve"> project was from </w:t>
            </w:r>
            <w:r w:rsidRPr="000A51FE">
              <w:t>1970-2005 at the U.S. Geological Survey gage station #05294000.</w:t>
            </w:r>
          </w:p>
          <w:p w:rsidR="001F6675" w:rsidRDefault="001F6675"/>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b/>
              </w:rPr>
              <w:t>Burandt Lake: Excess Nutrients</w:t>
            </w:r>
          </w:p>
        </w:tc>
        <w:tc>
          <w:tcPr>
            <w:tcW w:w="1817" w:type="dxa"/>
          </w:tcPr>
          <w:p w:rsidR="001F6675" w:rsidRDefault="00444BAC">
            <w:r>
              <w:t>Burandt Lake</w:t>
            </w:r>
          </w:p>
        </w:tc>
        <w:tc>
          <w:tcPr>
            <w:tcW w:w="990" w:type="dxa"/>
          </w:tcPr>
          <w:p w:rsidR="001F6675" w:rsidRDefault="00444BAC">
            <w:r>
              <w:t>n/a</w:t>
            </w:r>
          </w:p>
        </w:tc>
        <w:tc>
          <w:tcPr>
            <w:tcW w:w="2988" w:type="dxa"/>
          </w:tcPr>
          <w:p w:rsidR="001F6675" w:rsidRDefault="008D5A33">
            <w:r>
              <w:t>2000-20005</w:t>
            </w:r>
          </w:p>
        </w:tc>
        <w:tc>
          <w:tcPr>
            <w:tcW w:w="5683" w:type="dxa"/>
          </w:tcPr>
          <w:p w:rsidR="001F6675" w:rsidRDefault="001F6675" w:rsidP="00981D93">
            <w:r>
              <w:t>The TMDL report does not specify a baseline year and condition.  Since 2005 was the last year of monitoring data, any BMPs implemented since 2005 will be credited toward meeting the WLA.  BMPs implemented prior to 2005 will need to be evaluated to determine if they should receive credit.</w:t>
            </w:r>
          </w:p>
          <w:p w:rsidR="00903391" w:rsidRDefault="00903391" w:rsidP="00981D93"/>
          <w:p w:rsidR="001F6675" w:rsidRDefault="001F6675" w:rsidP="00981D93">
            <w:r>
              <w:t>The BATHTUB model for Burandt Lake was calibrated and validated using data for the years 2000 to 2005 (Section 5.5.1; pg. 30). The TMDL is based on an average precipitation year which was 2001.</w:t>
            </w:r>
          </w:p>
        </w:tc>
      </w:tr>
      <w:tr w:rsidR="001F6675" w:rsidTr="009469F8">
        <w:tc>
          <w:tcPr>
            <w:tcW w:w="3138" w:type="dxa"/>
            <w:shd w:val="clear" w:color="auto" w:fill="C6D9F1" w:themeFill="text2" w:themeFillTint="33"/>
          </w:tcPr>
          <w:p w:rsidR="001F6675" w:rsidRPr="00003C88" w:rsidRDefault="001F6675" w:rsidP="00981D93">
            <w:pPr>
              <w:rPr>
                <w:b/>
              </w:rPr>
            </w:pPr>
            <w:r w:rsidRPr="00003C88">
              <w:rPr>
                <w:b/>
              </w:rPr>
              <w:t xml:space="preserve">West Fork Des Moines River Watershed: Multiple Impairments </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283BB7">
            <w:r>
              <w:t>All</w:t>
            </w:r>
          </w:p>
        </w:tc>
        <w:tc>
          <w:tcPr>
            <w:tcW w:w="990" w:type="dxa"/>
          </w:tcPr>
          <w:p w:rsidR="001F6675" w:rsidRDefault="00D451CD">
            <w:r>
              <w:t>n/a</w:t>
            </w:r>
          </w:p>
        </w:tc>
        <w:tc>
          <w:tcPr>
            <w:tcW w:w="2988" w:type="dxa"/>
          </w:tcPr>
          <w:p w:rsidR="001F6675" w:rsidRDefault="00D451CD">
            <w:r>
              <w:t>Fecal coliform data 1994-2003</w:t>
            </w:r>
          </w:p>
          <w:p w:rsidR="00D451CD" w:rsidRDefault="00D451CD"/>
          <w:p w:rsidR="00D451CD" w:rsidRDefault="00D451CD">
            <w:r>
              <w:t>TSS data 2001-2004</w:t>
            </w:r>
          </w:p>
        </w:tc>
        <w:tc>
          <w:tcPr>
            <w:tcW w:w="5683" w:type="dxa"/>
          </w:tcPr>
          <w:p w:rsidR="001F6675" w:rsidRDefault="001F6675"/>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b/>
              </w:rPr>
              <w:t>Crystal Lake (Metro): Excess Nutrients</w:t>
            </w:r>
          </w:p>
        </w:tc>
        <w:tc>
          <w:tcPr>
            <w:tcW w:w="1817" w:type="dxa"/>
          </w:tcPr>
          <w:p w:rsidR="001F6675" w:rsidRDefault="00444BAC">
            <w:r>
              <w:t>Crystal Lake</w:t>
            </w:r>
          </w:p>
        </w:tc>
        <w:tc>
          <w:tcPr>
            <w:tcW w:w="990" w:type="dxa"/>
          </w:tcPr>
          <w:p w:rsidR="001F6675" w:rsidRDefault="00444BAC">
            <w:r>
              <w:t>n/a</w:t>
            </w:r>
          </w:p>
        </w:tc>
        <w:tc>
          <w:tcPr>
            <w:tcW w:w="2988" w:type="dxa"/>
          </w:tcPr>
          <w:p w:rsidR="001F6675" w:rsidRDefault="00D451CD">
            <w:r>
              <w:t>1986-2003</w:t>
            </w:r>
          </w:p>
        </w:tc>
        <w:tc>
          <w:tcPr>
            <w:tcW w:w="5683" w:type="dxa"/>
          </w:tcPr>
          <w:p w:rsidR="001F6675" w:rsidRDefault="001F6675"/>
        </w:tc>
      </w:tr>
      <w:tr w:rsidR="00D451CD" w:rsidTr="009469F8">
        <w:trPr>
          <w:trHeight w:val="465"/>
        </w:trPr>
        <w:tc>
          <w:tcPr>
            <w:tcW w:w="3138" w:type="dxa"/>
            <w:vMerge w:val="restart"/>
            <w:shd w:val="clear" w:color="auto" w:fill="C6D9F1" w:themeFill="text2" w:themeFillTint="33"/>
          </w:tcPr>
          <w:p w:rsidR="00D451CD" w:rsidRPr="00003C88" w:rsidRDefault="00D451CD" w:rsidP="00981D93">
            <w:pPr>
              <w:spacing w:after="200" w:line="276" w:lineRule="auto"/>
              <w:contextualSpacing/>
              <w:rPr>
                <w:rFonts w:eastAsia="Calibri" w:cs="Times New Roman"/>
                <w:b/>
              </w:rPr>
            </w:pPr>
            <w:r w:rsidRPr="00003C88">
              <w:rPr>
                <w:rFonts w:eastAsia="Calibri" w:cs="Times New Roman"/>
                <w:b/>
              </w:rPr>
              <w:t xml:space="preserve">Long and </w:t>
            </w:r>
            <w:proofErr w:type="spellStart"/>
            <w:r w:rsidRPr="00003C88">
              <w:rPr>
                <w:rFonts w:eastAsia="Calibri" w:cs="Times New Roman"/>
                <w:b/>
              </w:rPr>
              <w:t>Farquar</w:t>
            </w:r>
            <w:proofErr w:type="spellEnd"/>
            <w:r w:rsidRPr="00003C88">
              <w:rPr>
                <w:rFonts w:eastAsia="Calibri" w:cs="Times New Roman"/>
                <w:b/>
              </w:rPr>
              <w:t xml:space="preserve"> Lakes: Excess Nutrients (Metro)</w:t>
            </w:r>
          </w:p>
          <w:p w:rsidR="00D451CD" w:rsidRPr="00003C88" w:rsidRDefault="00D451CD" w:rsidP="00981D93">
            <w:pPr>
              <w:spacing w:after="200" w:line="276" w:lineRule="auto"/>
              <w:contextualSpacing/>
              <w:rPr>
                <w:rFonts w:eastAsia="Calibri" w:cs="Times New Roman"/>
                <w:b/>
              </w:rPr>
            </w:pPr>
          </w:p>
        </w:tc>
        <w:tc>
          <w:tcPr>
            <w:tcW w:w="1817" w:type="dxa"/>
          </w:tcPr>
          <w:p w:rsidR="00D451CD" w:rsidRDefault="00D451CD">
            <w:r>
              <w:t>Long Lake</w:t>
            </w:r>
          </w:p>
        </w:tc>
        <w:tc>
          <w:tcPr>
            <w:tcW w:w="990" w:type="dxa"/>
          </w:tcPr>
          <w:p w:rsidR="00D451CD" w:rsidRDefault="00283BB7">
            <w:r>
              <w:t>n/a</w:t>
            </w:r>
          </w:p>
        </w:tc>
        <w:tc>
          <w:tcPr>
            <w:tcW w:w="2988" w:type="dxa"/>
          </w:tcPr>
          <w:p w:rsidR="00D451CD" w:rsidRDefault="00D451CD"/>
        </w:tc>
        <w:tc>
          <w:tcPr>
            <w:tcW w:w="5683" w:type="dxa"/>
            <w:vMerge w:val="restart"/>
          </w:tcPr>
          <w:p w:rsidR="00D451CD" w:rsidRDefault="00D451CD">
            <w:r w:rsidRPr="00D451CD">
              <w:t xml:space="preserve">The TMDL report does </w:t>
            </w:r>
            <w:r>
              <w:t xml:space="preserve">not </w:t>
            </w:r>
            <w:r w:rsidRPr="00D451CD">
              <w:t>specify a baseline year.  The year 2005 represents a normal precipitation year and was one of the years used to calibrate the model.</w:t>
            </w:r>
          </w:p>
        </w:tc>
      </w:tr>
      <w:tr w:rsidR="00D451CD" w:rsidTr="009469F8">
        <w:trPr>
          <w:trHeight w:val="465"/>
        </w:trPr>
        <w:tc>
          <w:tcPr>
            <w:tcW w:w="3138" w:type="dxa"/>
            <w:vMerge/>
            <w:shd w:val="clear" w:color="auto" w:fill="C6D9F1" w:themeFill="text2" w:themeFillTint="33"/>
          </w:tcPr>
          <w:p w:rsidR="00D451CD" w:rsidRPr="00003C88" w:rsidRDefault="00D451CD" w:rsidP="00981D93">
            <w:pPr>
              <w:spacing w:after="200" w:line="276" w:lineRule="auto"/>
              <w:contextualSpacing/>
              <w:rPr>
                <w:rFonts w:eastAsia="Calibri" w:cs="Times New Roman"/>
                <w:b/>
              </w:rPr>
            </w:pPr>
          </w:p>
        </w:tc>
        <w:tc>
          <w:tcPr>
            <w:tcW w:w="1817" w:type="dxa"/>
          </w:tcPr>
          <w:p w:rsidR="00D451CD" w:rsidRDefault="00D451CD">
            <w:proofErr w:type="spellStart"/>
            <w:r>
              <w:t>Farquar</w:t>
            </w:r>
            <w:proofErr w:type="spellEnd"/>
            <w:r>
              <w:t xml:space="preserve"> Lake</w:t>
            </w:r>
          </w:p>
        </w:tc>
        <w:tc>
          <w:tcPr>
            <w:tcW w:w="990" w:type="dxa"/>
          </w:tcPr>
          <w:p w:rsidR="00D451CD" w:rsidRDefault="00283BB7">
            <w:r>
              <w:t>n/a</w:t>
            </w:r>
          </w:p>
        </w:tc>
        <w:tc>
          <w:tcPr>
            <w:tcW w:w="2988" w:type="dxa"/>
          </w:tcPr>
          <w:p w:rsidR="00D451CD" w:rsidRDefault="00D451CD"/>
        </w:tc>
        <w:tc>
          <w:tcPr>
            <w:tcW w:w="5683" w:type="dxa"/>
            <w:vMerge/>
          </w:tcPr>
          <w:p w:rsidR="00D451CD" w:rsidRDefault="00D451CD"/>
        </w:tc>
      </w:tr>
      <w:tr w:rsidR="001F6675" w:rsidTr="009469F8">
        <w:tc>
          <w:tcPr>
            <w:tcW w:w="3138" w:type="dxa"/>
            <w:shd w:val="clear" w:color="auto" w:fill="C6D9F1" w:themeFill="text2" w:themeFillTint="33"/>
          </w:tcPr>
          <w:p w:rsidR="001F6675" w:rsidRPr="00003C88" w:rsidRDefault="006703C3" w:rsidP="00981D93">
            <w:pPr>
              <w:spacing w:after="200" w:line="276" w:lineRule="auto"/>
              <w:contextualSpacing/>
              <w:rPr>
                <w:rFonts w:eastAsia="Calibri" w:cs="Times New Roman"/>
                <w:b/>
              </w:rPr>
            </w:pPr>
            <w:hyperlink w:anchor="tablecontents" w:history="1">
              <w:r w:rsidR="001F6675" w:rsidRPr="00003C88">
                <w:rPr>
                  <w:rFonts w:eastAsia="Calibri" w:cs="Times New Roman"/>
                  <w:b/>
                </w:rPr>
                <w:t>Hardwood Creek (Metro): Impaired Biota, Dissolved Oxygen</w:t>
              </w:r>
            </w:hyperlink>
          </w:p>
        </w:tc>
        <w:tc>
          <w:tcPr>
            <w:tcW w:w="1817" w:type="dxa"/>
          </w:tcPr>
          <w:p w:rsidR="001F6675" w:rsidRDefault="00283BB7">
            <w:r>
              <w:t>All</w:t>
            </w:r>
          </w:p>
        </w:tc>
        <w:tc>
          <w:tcPr>
            <w:tcW w:w="990" w:type="dxa"/>
          </w:tcPr>
          <w:p w:rsidR="001F6675" w:rsidRDefault="00283BB7">
            <w:r>
              <w:t>2002</w:t>
            </w:r>
          </w:p>
        </w:tc>
        <w:tc>
          <w:tcPr>
            <w:tcW w:w="2988" w:type="dxa"/>
          </w:tcPr>
          <w:p w:rsidR="001F6675" w:rsidRDefault="001F6675"/>
        </w:tc>
        <w:tc>
          <w:tcPr>
            <w:tcW w:w="5683" w:type="dxa"/>
          </w:tcPr>
          <w:p w:rsidR="001F6675" w:rsidRDefault="001F6675"/>
        </w:tc>
      </w:tr>
      <w:bookmarkStart w:id="1" w:name="schmidtpomerleau"/>
      <w:tr w:rsidR="00CF57EE" w:rsidTr="009469F8">
        <w:trPr>
          <w:trHeight w:val="280"/>
        </w:trPr>
        <w:tc>
          <w:tcPr>
            <w:tcW w:w="3138" w:type="dxa"/>
            <w:vMerge w:val="restart"/>
            <w:shd w:val="clear" w:color="auto" w:fill="C6D9F1" w:themeFill="text2" w:themeFillTint="33"/>
          </w:tcPr>
          <w:p w:rsidR="00CF57EE" w:rsidRPr="00003C88" w:rsidRDefault="00CF57EE" w:rsidP="00981D93">
            <w:pPr>
              <w:rPr>
                <w:rFonts w:eastAsia="Calibri" w:cs="Times New Roman"/>
                <w:b/>
              </w:rPr>
            </w:pPr>
            <w:r w:rsidRPr="00003C88">
              <w:rPr>
                <w:rFonts w:eastAsia="Calibri" w:cs="Times New Roman"/>
                <w:b/>
              </w:rPr>
              <w:fldChar w:fldCharType="begin"/>
            </w:r>
            <w:r w:rsidRPr="00003C88">
              <w:rPr>
                <w:rFonts w:eastAsia="Calibri" w:cs="Times New Roman"/>
                <w:b/>
              </w:rPr>
              <w:instrText xml:space="preserve"> HYPERLINK  \l "tablecontents" </w:instrText>
            </w:r>
            <w:r w:rsidRPr="00003C88">
              <w:rPr>
                <w:rFonts w:eastAsia="Calibri" w:cs="Times New Roman"/>
                <w:b/>
              </w:rPr>
              <w:fldChar w:fldCharType="separate"/>
            </w:r>
            <w:r w:rsidRPr="00003C88">
              <w:rPr>
                <w:rFonts w:eastAsia="Calibri" w:cs="Times New Roman"/>
                <w:b/>
              </w:rPr>
              <w:t xml:space="preserve">Schmidt, </w:t>
            </w:r>
            <w:proofErr w:type="spellStart"/>
            <w:r w:rsidRPr="00003C88">
              <w:rPr>
                <w:rFonts w:eastAsia="Calibri" w:cs="Times New Roman"/>
                <w:b/>
              </w:rPr>
              <w:t>Pomerleau</w:t>
            </w:r>
            <w:proofErr w:type="spellEnd"/>
            <w:r w:rsidRPr="00003C88">
              <w:rPr>
                <w:rFonts w:eastAsia="Calibri" w:cs="Times New Roman"/>
                <w:b/>
              </w:rPr>
              <w:t>, and Bass Lakes: Excess Nutrients</w:t>
            </w:r>
            <w:r w:rsidRPr="00003C88">
              <w:rPr>
                <w:rFonts w:eastAsia="Calibri" w:cs="Times New Roman"/>
                <w:b/>
              </w:rPr>
              <w:fldChar w:fldCharType="end"/>
            </w:r>
          </w:p>
          <w:bookmarkEnd w:id="1"/>
          <w:p w:rsidR="00CF57EE" w:rsidRPr="00003C88" w:rsidRDefault="00CF57EE" w:rsidP="00981D93">
            <w:pPr>
              <w:spacing w:after="200" w:line="276" w:lineRule="auto"/>
              <w:contextualSpacing/>
              <w:rPr>
                <w:rFonts w:eastAsia="Calibri" w:cs="Times New Roman"/>
                <w:b/>
              </w:rPr>
            </w:pPr>
          </w:p>
        </w:tc>
        <w:tc>
          <w:tcPr>
            <w:tcW w:w="1817" w:type="dxa"/>
          </w:tcPr>
          <w:p w:rsidR="00CF57EE" w:rsidRDefault="00CF57EE">
            <w:r>
              <w:lastRenderedPageBreak/>
              <w:t>Schmidt Lake</w:t>
            </w:r>
          </w:p>
        </w:tc>
        <w:tc>
          <w:tcPr>
            <w:tcW w:w="990" w:type="dxa"/>
          </w:tcPr>
          <w:p w:rsidR="00CF57EE" w:rsidRDefault="00A534BC">
            <w:r>
              <w:t>n/a</w:t>
            </w:r>
          </w:p>
        </w:tc>
        <w:tc>
          <w:tcPr>
            <w:tcW w:w="2988" w:type="dxa"/>
          </w:tcPr>
          <w:p w:rsidR="00CF57EE" w:rsidRDefault="00151567">
            <w:r>
              <w:t>1994-2007</w:t>
            </w:r>
          </w:p>
        </w:tc>
        <w:tc>
          <w:tcPr>
            <w:tcW w:w="5683" w:type="dxa"/>
          </w:tcPr>
          <w:p w:rsidR="00CF57EE" w:rsidRDefault="00151567">
            <w:r>
              <w:t>2004 and 2005 were evaluated using Three Rivers Park data.</w:t>
            </w:r>
          </w:p>
        </w:tc>
      </w:tr>
      <w:tr w:rsidR="00A534BC" w:rsidTr="009469F8">
        <w:trPr>
          <w:trHeight w:val="280"/>
        </w:trPr>
        <w:tc>
          <w:tcPr>
            <w:tcW w:w="3138" w:type="dxa"/>
            <w:vMerge/>
            <w:shd w:val="clear" w:color="auto" w:fill="C6D9F1" w:themeFill="text2" w:themeFillTint="33"/>
          </w:tcPr>
          <w:p w:rsidR="00A534BC" w:rsidRPr="00003C88" w:rsidRDefault="00A534BC" w:rsidP="00981D93">
            <w:pPr>
              <w:rPr>
                <w:rFonts w:eastAsia="Calibri" w:cs="Times New Roman"/>
                <w:b/>
              </w:rPr>
            </w:pPr>
          </w:p>
        </w:tc>
        <w:tc>
          <w:tcPr>
            <w:tcW w:w="1817" w:type="dxa"/>
          </w:tcPr>
          <w:p w:rsidR="00A534BC" w:rsidRDefault="00A534BC">
            <w:proofErr w:type="spellStart"/>
            <w:r>
              <w:t>Pomerleau</w:t>
            </w:r>
            <w:proofErr w:type="spellEnd"/>
            <w:r>
              <w:t xml:space="preserve"> Lake</w:t>
            </w:r>
          </w:p>
        </w:tc>
        <w:tc>
          <w:tcPr>
            <w:tcW w:w="990" w:type="dxa"/>
          </w:tcPr>
          <w:p w:rsidR="00A534BC" w:rsidRDefault="00A534BC">
            <w:r w:rsidRPr="00EB4509">
              <w:t>n/a</w:t>
            </w:r>
          </w:p>
        </w:tc>
        <w:tc>
          <w:tcPr>
            <w:tcW w:w="2988" w:type="dxa"/>
          </w:tcPr>
          <w:p w:rsidR="00A534BC" w:rsidRDefault="00A534BC">
            <w:r>
              <w:t>1996, 1999, 2001, 2003</w:t>
            </w:r>
          </w:p>
        </w:tc>
        <w:tc>
          <w:tcPr>
            <w:tcW w:w="5683" w:type="dxa"/>
          </w:tcPr>
          <w:p w:rsidR="00A534BC" w:rsidRDefault="00A534BC">
            <w:r>
              <w:t xml:space="preserve">Only two good years of data were available for </w:t>
            </w:r>
            <w:proofErr w:type="spellStart"/>
            <w:r>
              <w:t>Pomerleau</w:t>
            </w:r>
            <w:proofErr w:type="spellEnd"/>
            <w:r>
              <w:t xml:space="preserve"> Lake – 1996 and 1999. Other years had too few observations </w:t>
            </w:r>
            <w:r>
              <w:lastRenderedPageBreak/>
              <w:t>to develop conclusions.</w:t>
            </w:r>
          </w:p>
        </w:tc>
      </w:tr>
      <w:tr w:rsidR="00A534BC" w:rsidTr="009469F8">
        <w:trPr>
          <w:trHeight w:val="280"/>
        </w:trPr>
        <w:tc>
          <w:tcPr>
            <w:tcW w:w="3138" w:type="dxa"/>
            <w:vMerge/>
            <w:shd w:val="clear" w:color="auto" w:fill="C6D9F1" w:themeFill="text2" w:themeFillTint="33"/>
          </w:tcPr>
          <w:p w:rsidR="00A534BC" w:rsidRPr="00003C88" w:rsidRDefault="00A534BC" w:rsidP="00981D93">
            <w:pPr>
              <w:rPr>
                <w:rFonts w:eastAsia="Calibri" w:cs="Times New Roman"/>
                <w:b/>
              </w:rPr>
            </w:pPr>
          </w:p>
        </w:tc>
        <w:tc>
          <w:tcPr>
            <w:tcW w:w="1817" w:type="dxa"/>
          </w:tcPr>
          <w:p w:rsidR="00A534BC" w:rsidRDefault="00A534BC">
            <w:r>
              <w:t>Bass Lake</w:t>
            </w:r>
          </w:p>
        </w:tc>
        <w:tc>
          <w:tcPr>
            <w:tcW w:w="990" w:type="dxa"/>
          </w:tcPr>
          <w:p w:rsidR="00A534BC" w:rsidRDefault="00A534BC">
            <w:r w:rsidRPr="00EB4509">
              <w:t>n/a</w:t>
            </w:r>
          </w:p>
        </w:tc>
        <w:tc>
          <w:tcPr>
            <w:tcW w:w="2988" w:type="dxa"/>
          </w:tcPr>
          <w:p w:rsidR="00A534BC" w:rsidRDefault="00A534BC">
            <w:r>
              <w:t xml:space="preserve">1973-1974, 1980, 1994, 1997-2007 </w:t>
            </w:r>
          </w:p>
        </w:tc>
        <w:tc>
          <w:tcPr>
            <w:tcW w:w="5683" w:type="dxa"/>
          </w:tcPr>
          <w:p w:rsidR="00A534BC" w:rsidRDefault="00A534BC"/>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Lower Vermillion River Watershed TMDL: Turbidity</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5E1BA9">
            <w:r>
              <w:t>All</w:t>
            </w:r>
          </w:p>
        </w:tc>
        <w:tc>
          <w:tcPr>
            <w:tcW w:w="990" w:type="dxa"/>
          </w:tcPr>
          <w:p w:rsidR="001F6675" w:rsidRDefault="005E1BA9">
            <w:r>
              <w:t>n/a</w:t>
            </w:r>
          </w:p>
        </w:tc>
        <w:tc>
          <w:tcPr>
            <w:tcW w:w="2988" w:type="dxa"/>
          </w:tcPr>
          <w:p w:rsidR="001F6675" w:rsidRDefault="005E1BA9">
            <w:r>
              <w:t>1990-2002</w:t>
            </w:r>
          </w:p>
        </w:tc>
        <w:tc>
          <w:tcPr>
            <w:tcW w:w="5683" w:type="dxa"/>
          </w:tcPr>
          <w:p w:rsidR="001F6675" w:rsidRDefault="001F6675"/>
        </w:tc>
      </w:tr>
      <w:bookmarkStart w:id="2" w:name="golden"/>
      <w:tr w:rsidR="001F6675" w:rsidTr="009469F8">
        <w:tc>
          <w:tcPr>
            <w:tcW w:w="3138" w:type="dxa"/>
            <w:shd w:val="clear" w:color="auto" w:fill="C6D9F1" w:themeFill="text2" w:themeFillTint="33"/>
          </w:tcPr>
          <w:p w:rsidR="001F6675" w:rsidRPr="00003C88" w:rsidRDefault="001F6675" w:rsidP="00981D93">
            <w:pPr>
              <w:rPr>
                <w:rFonts w:eastAsia="Calibri" w:cs="Times New Roman"/>
                <w:b/>
              </w:rPr>
            </w:pPr>
            <w:r w:rsidRPr="00003C88">
              <w:rPr>
                <w:rFonts w:eastAsia="Calibri" w:cs="Times New Roman"/>
                <w:b/>
              </w:rPr>
              <w:fldChar w:fldCharType="begin"/>
            </w:r>
            <w:r w:rsidRPr="00003C88">
              <w:rPr>
                <w:rFonts w:eastAsia="Calibri" w:cs="Times New Roman"/>
                <w:b/>
              </w:rPr>
              <w:instrText xml:space="preserve"> HYPERLINK  \l "tablecontents" </w:instrText>
            </w:r>
            <w:r w:rsidRPr="00003C88">
              <w:rPr>
                <w:rFonts w:eastAsia="Calibri" w:cs="Times New Roman"/>
                <w:b/>
              </w:rPr>
              <w:fldChar w:fldCharType="separate"/>
            </w:r>
            <w:r w:rsidRPr="00003C88">
              <w:rPr>
                <w:rFonts w:eastAsia="Calibri" w:cs="Times New Roman"/>
                <w:b/>
              </w:rPr>
              <w:t>Golden Lake: Excess Nutrients</w:t>
            </w:r>
            <w:r w:rsidRPr="00003C88">
              <w:rPr>
                <w:rFonts w:eastAsia="Calibri" w:cs="Times New Roman"/>
                <w:b/>
              </w:rPr>
              <w:fldChar w:fldCharType="end"/>
            </w:r>
          </w:p>
          <w:bookmarkEnd w:id="2"/>
          <w:p w:rsidR="001F6675" w:rsidRPr="00003C88" w:rsidRDefault="001F6675" w:rsidP="00981D93">
            <w:pPr>
              <w:spacing w:after="200" w:line="276" w:lineRule="auto"/>
              <w:contextualSpacing/>
              <w:rPr>
                <w:rFonts w:eastAsia="Calibri" w:cs="Times New Roman"/>
                <w:b/>
              </w:rPr>
            </w:pPr>
          </w:p>
        </w:tc>
        <w:tc>
          <w:tcPr>
            <w:tcW w:w="1817" w:type="dxa"/>
          </w:tcPr>
          <w:p w:rsidR="001F6675" w:rsidRDefault="005E1BA9">
            <w:r>
              <w:t>Golden Lake</w:t>
            </w:r>
          </w:p>
        </w:tc>
        <w:tc>
          <w:tcPr>
            <w:tcW w:w="990" w:type="dxa"/>
          </w:tcPr>
          <w:p w:rsidR="001F6675" w:rsidRDefault="005E1BA9">
            <w:r>
              <w:t>n/a</w:t>
            </w:r>
          </w:p>
        </w:tc>
        <w:tc>
          <w:tcPr>
            <w:tcW w:w="2988" w:type="dxa"/>
          </w:tcPr>
          <w:p w:rsidR="001F6675" w:rsidRDefault="001F6675"/>
        </w:tc>
        <w:tc>
          <w:tcPr>
            <w:tcW w:w="5683" w:type="dxa"/>
          </w:tcPr>
          <w:p w:rsidR="005E1BA9" w:rsidRDefault="005E1BA9" w:rsidP="005E1BA9">
            <w:pPr>
              <w:rPr>
                <w:color w:val="000000"/>
                <w:sz w:val="24"/>
                <w:szCs w:val="24"/>
              </w:rPr>
            </w:pPr>
            <w:r>
              <w:rPr>
                <w:color w:val="000000"/>
              </w:rPr>
              <w:t>The model was calibrated to monitoring data for 2004.</w:t>
            </w:r>
          </w:p>
          <w:p w:rsidR="001F6675" w:rsidRDefault="001F6675"/>
        </w:tc>
      </w:tr>
      <w:bookmarkStart w:id="3" w:name="kohlman"/>
      <w:tr w:rsidR="001F6675" w:rsidTr="009469F8">
        <w:tc>
          <w:tcPr>
            <w:tcW w:w="3138" w:type="dxa"/>
            <w:shd w:val="clear" w:color="auto" w:fill="C6D9F1" w:themeFill="text2" w:themeFillTint="33"/>
          </w:tcPr>
          <w:p w:rsidR="001F6675" w:rsidRPr="00003C88" w:rsidRDefault="001F6675" w:rsidP="00981D93">
            <w:pPr>
              <w:rPr>
                <w:rFonts w:eastAsia="Calibri" w:cs="Times New Roman"/>
                <w:b/>
              </w:rPr>
            </w:pPr>
            <w:r w:rsidRPr="00003C88">
              <w:rPr>
                <w:rFonts w:eastAsia="Calibri" w:cs="Times New Roman"/>
                <w:b/>
              </w:rPr>
              <w:fldChar w:fldCharType="begin"/>
            </w:r>
            <w:r w:rsidRPr="00003C88">
              <w:rPr>
                <w:rFonts w:eastAsia="Calibri" w:cs="Times New Roman"/>
                <w:b/>
              </w:rPr>
              <w:instrText>HYPERLINK \l "tablecontents"</w:instrText>
            </w:r>
            <w:r w:rsidRPr="00003C88">
              <w:rPr>
                <w:rFonts w:eastAsia="Calibri" w:cs="Times New Roman"/>
                <w:b/>
              </w:rPr>
              <w:fldChar w:fldCharType="separate"/>
            </w:r>
            <w:proofErr w:type="spellStart"/>
            <w:r w:rsidRPr="00003C88">
              <w:rPr>
                <w:rFonts w:eastAsia="Calibri" w:cs="Times New Roman"/>
                <w:b/>
              </w:rPr>
              <w:t>Kohlman</w:t>
            </w:r>
            <w:proofErr w:type="spellEnd"/>
            <w:r w:rsidRPr="00003C88">
              <w:rPr>
                <w:rFonts w:eastAsia="Calibri" w:cs="Times New Roman"/>
                <w:b/>
              </w:rPr>
              <w:t xml:space="preserve"> Lake (Metro): Excess Nutrients</w:t>
            </w:r>
            <w:r w:rsidRPr="00003C88">
              <w:rPr>
                <w:rFonts w:eastAsia="Calibri" w:cs="Times New Roman"/>
                <w:b/>
              </w:rPr>
              <w:fldChar w:fldCharType="end"/>
            </w:r>
          </w:p>
          <w:bookmarkEnd w:id="3"/>
          <w:p w:rsidR="001F6675" w:rsidRPr="00003C88" w:rsidRDefault="001F6675" w:rsidP="00981D93">
            <w:pPr>
              <w:spacing w:after="200" w:line="276" w:lineRule="auto"/>
              <w:contextualSpacing/>
              <w:rPr>
                <w:rFonts w:eastAsia="Calibri" w:cs="Times New Roman"/>
                <w:b/>
              </w:rPr>
            </w:pPr>
          </w:p>
        </w:tc>
        <w:tc>
          <w:tcPr>
            <w:tcW w:w="1817" w:type="dxa"/>
          </w:tcPr>
          <w:p w:rsidR="001F6675" w:rsidRDefault="005E1BA9">
            <w:proofErr w:type="spellStart"/>
            <w:r>
              <w:t>Kohlman</w:t>
            </w:r>
            <w:proofErr w:type="spellEnd"/>
            <w:r>
              <w:t xml:space="preserve"> Lake</w:t>
            </w:r>
          </w:p>
        </w:tc>
        <w:tc>
          <w:tcPr>
            <w:tcW w:w="990" w:type="dxa"/>
          </w:tcPr>
          <w:p w:rsidR="001F6675" w:rsidRDefault="005E1BA9">
            <w:r>
              <w:t>n/a</w:t>
            </w:r>
          </w:p>
        </w:tc>
        <w:tc>
          <w:tcPr>
            <w:tcW w:w="2988" w:type="dxa"/>
          </w:tcPr>
          <w:p w:rsidR="001F6675" w:rsidRDefault="001F6675"/>
        </w:tc>
        <w:tc>
          <w:tcPr>
            <w:tcW w:w="5683" w:type="dxa"/>
          </w:tcPr>
          <w:p w:rsidR="001F6675" w:rsidRDefault="005E1BA9">
            <w:r>
              <w:t>The P8 model was calibrated to 2002 data.</w:t>
            </w:r>
          </w:p>
        </w:tc>
      </w:tr>
      <w:bookmarkStart w:id="4" w:name="meadow"/>
      <w:tr w:rsidR="001F6675" w:rsidTr="009469F8">
        <w:tc>
          <w:tcPr>
            <w:tcW w:w="3138" w:type="dxa"/>
            <w:shd w:val="clear" w:color="auto" w:fill="C6D9F1" w:themeFill="text2" w:themeFillTint="33"/>
          </w:tcPr>
          <w:p w:rsidR="001F6675" w:rsidRPr="00003C88" w:rsidRDefault="001F6675" w:rsidP="00981D93">
            <w:pPr>
              <w:rPr>
                <w:rFonts w:eastAsia="Calibri" w:cs="Times New Roman"/>
                <w:b/>
              </w:rPr>
            </w:pPr>
            <w:r w:rsidRPr="00003C88">
              <w:rPr>
                <w:rFonts w:eastAsia="Calibri" w:cs="Times New Roman"/>
                <w:b/>
              </w:rPr>
              <w:fldChar w:fldCharType="begin"/>
            </w:r>
            <w:r w:rsidRPr="00003C88">
              <w:rPr>
                <w:rFonts w:eastAsia="Calibri" w:cs="Times New Roman"/>
                <w:b/>
              </w:rPr>
              <w:instrText xml:space="preserve"> HYPERLINK  \l "tablecontents" </w:instrText>
            </w:r>
            <w:r w:rsidRPr="00003C88">
              <w:rPr>
                <w:rFonts w:eastAsia="Calibri" w:cs="Times New Roman"/>
                <w:b/>
              </w:rPr>
              <w:fldChar w:fldCharType="separate"/>
            </w:r>
            <w:r w:rsidRPr="00003C88">
              <w:rPr>
                <w:rFonts w:eastAsia="Calibri" w:cs="Times New Roman"/>
                <w:b/>
              </w:rPr>
              <w:t>Meadow Lake (Metro): Excess Nutrients</w:t>
            </w:r>
            <w:r w:rsidRPr="00003C88">
              <w:rPr>
                <w:rFonts w:eastAsia="Calibri" w:cs="Times New Roman"/>
                <w:b/>
              </w:rPr>
              <w:fldChar w:fldCharType="end"/>
            </w:r>
          </w:p>
          <w:bookmarkEnd w:id="4"/>
          <w:p w:rsidR="001F6675" w:rsidRPr="00003C88" w:rsidRDefault="001F6675" w:rsidP="00981D93">
            <w:pPr>
              <w:spacing w:after="200" w:line="276" w:lineRule="auto"/>
              <w:contextualSpacing/>
              <w:rPr>
                <w:rFonts w:eastAsia="Calibri" w:cs="Times New Roman"/>
                <w:b/>
              </w:rPr>
            </w:pPr>
          </w:p>
        </w:tc>
        <w:tc>
          <w:tcPr>
            <w:tcW w:w="1817" w:type="dxa"/>
          </w:tcPr>
          <w:p w:rsidR="001F6675" w:rsidRDefault="005E1BA9">
            <w:r>
              <w:t>Meadow Lake</w:t>
            </w:r>
          </w:p>
        </w:tc>
        <w:tc>
          <w:tcPr>
            <w:tcW w:w="990" w:type="dxa"/>
          </w:tcPr>
          <w:p w:rsidR="001F6675" w:rsidRDefault="005E1BA9">
            <w:r>
              <w:t>n/a</w:t>
            </w:r>
          </w:p>
        </w:tc>
        <w:tc>
          <w:tcPr>
            <w:tcW w:w="2988" w:type="dxa"/>
          </w:tcPr>
          <w:p w:rsidR="001F6675" w:rsidRDefault="001F6675"/>
        </w:tc>
        <w:tc>
          <w:tcPr>
            <w:tcW w:w="5683" w:type="dxa"/>
          </w:tcPr>
          <w:p w:rsidR="001F6675" w:rsidRDefault="005E1BA9">
            <w:r w:rsidRPr="005E1BA9">
              <w:t>The WLA for the TMDL was calculated by averaging the watershed load at goal for the ten year period 1996-2005. This ten year period brackets the four years for which actual monitoring data is available: 1996, 1999, 2002, and 2005.</w:t>
            </w:r>
          </w:p>
        </w:tc>
      </w:tr>
      <w:bookmarkStart w:id="5" w:name="cedarisland"/>
      <w:tr w:rsidR="001F6675" w:rsidTr="009469F8">
        <w:tc>
          <w:tcPr>
            <w:tcW w:w="3138" w:type="dxa"/>
            <w:shd w:val="clear" w:color="auto" w:fill="C6D9F1" w:themeFill="text2" w:themeFillTint="33"/>
          </w:tcPr>
          <w:p w:rsidR="001F6675" w:rsidRPr="00003C88" w:rsidRDefault="001F6675" w:rsidP="00981D93">
            <w:pPr>
              <w:rPr>
                <w:rFonts w:eastAsia="Calibri" w:cs="Times New Roman"/>
                <w:b/>
              </w:rPr>
            </w:pPr>
            <w:r w:rsidRPr="00003C88">
              <w:rPr>
                <w:rFonts w:eastAsia="Calibri" w:cs="Times New Roman"/>
                <w:b/>
              </w:rPr>
              <w:fldChar w:fldCharType="begin"/>
            </w:r>
            <w:r w:rsidRPr="00003C88">
              <w:rPr>
                <w:rFonts w:eastAsia="Calibri" w:cs="Times New Roman"/>
                <w:b/>
              </w:rPr>
              <w:instrText>HYPERLINK \l "tablecontents"</w:instrText>
            </w:r>
            <w:r w:rsidRPr="00003C88">
              <w:rPr>
                <w:rFonts w:eastAsia="Calibri" w:cs="Times New Roman"/>
                <w:b/>
              </w:rPr>
              <w:fldChar w:fldCharType="separate"/>
            </w:r>
            <w:r w:rsidRPr="00003C88">
              <w:rPr>
                <w:rFonts w:eastAsia="Calibri" w:cs="Times New Roman"/>
                <w:b/>
              </w:rPr>
              <w:t>Cedar Island, Pike and Eagle Lakes: (Excess Nutrients)</w:t>
            </w:r>
            <w:r w:rsidRPr="00003C88">
              <w:rPr>
                <w:rFonts w:eastAsia="Calibri" w:cs="Times New Roman"/>
                <w:b/>
              </w:rPr>
              <w:fldChar w:fldCharType="end"/>
            </w:r>
          </w:p>
          <w:bookmarkEnd w:id="5"/>
          <w:p w:rsidR="001F6675" w:rsidRPr="00003C88" w:rsidRDefault="001F6675" w:rsidP="00981D93">
            <w:pPr>
              <w:spacing w:after="200" w:line="276" w:lineRule="auto"/>
              <w:contextualSpacing/>
              <w:rPr>
                <w:rFonts w:eastAsia="Calibri" w:cs="Times New Roman"/>
                <w:b/>
              </w:rPr>
            </w:pPr>
          </w:p>
        </w:tc>
        <w:tc>
          <w:tcPr>
            <w:tcW w:w="1817" w:type="dxa"/>
          </w:tcPr>
          <w:p w:rsidR="001F6675" w:rsidRDefault="005E1BA9">
            <w:r>
              <w:t>All</w:t>
            </w:r>
          </w:p>
        </w:tc>
        <w:tc>
          <w:tcPr>
            <w:tcW w:w="990" w:type="dxa"/>
          </w:tcPr>
          <w:p w:rsidR="001F6675" w:rsidRDefault="005E1BA9">
            <w:r>
              <w:t>n/a</w:t>
            </w:r>
          </w:p>
        </w:tc>
        <w:tc>
          <w:tcPr>
            <w:tcW w:w="2988" w:type="dxa"/>
          </w:tcPr>
          <w:p w:rsidR="001F6675" w:rsidRDefault="001F6675"/>
        </w:tc>
        <w:tc>
          <w:tcPr>
            <w:tcW w:w="5683" w:type="dxa"/>
          </w:tcPr>
          <w:p w:rsidR="001F6675" w:rsidRDefault="005E1BA9">
            <w:r w:rsidRPr="005E1BA9">
              <w:t>The report does not provide a specific baseline year.  Water quality response modeling used to set the allocations utilized data from 2001 and 2003.  This modeling was linked to P8 modeling during the same time period.</w:t>
            </w:r>
          </w:p>
        </w:tc>
      </w:tr>
      <w:tr w:rsidR="000E270E" w:rsidTr="009469F8">
        <w:trPr>
          <w:trHeight w:val="140"/>
        </w:trPr>
        <w:tc>
          <w:tcPr>
            <w:tcW w:w="3138" w:type="dxa"/>
            <w:vMerge w:val="restart"/>
            <w:shd w:val="clear" w:color="auto" w:fill="C6D9F1" w:themeFill="text2" w:themeFillTint="33"/>
          </w:tcPr>
          <w:p w:rsidR="000E270E" w:rsidRPr="00003C88" w:rsidRDefault="006703C3" w:rsidP="00981D93">
            <w:pPr>
              <w:rPr>
                <w:rFonts w:eastAsia="Calibri" w:cs="Times New Roman"/>
                <w:b/>
              </w:rPr>
            </w:pPr>
            <w:hyperlink w:anchor="tablecontents" w:history="1">
              <w:r w:rsidR="000E270E" w:rsidRPr="00003C88">
                <w:rPr>
                  <w:rFonts w:eastAsia="Calibri" w:cs="Times New Roman"/>
                  <w:b/>
                </w:rPr>
                <w:t>Comfort Lake – Forest Lake: Excess Nutrients</w:t>
              </w:r>
            </w:hyperlink>
          </w:p>
          <w:p w:rsidR="000E270E" w:rsidRPr="00003C88" w:rsidRDefault="000E270E" w:rsidP="00981D93">
            <w:pPr>
              <w:spacing w:after="200" w:line="276" w:lineRule="auto"/>
              <w:contextualSpacing/>
              <w:rPr>
                <w:rFonts w:eastAsia="Calibri" w:cs="Times New Roman"/>
                <w:b/>
              </w:rPr>
            </w:pPr>
          </w:p>
        </w:tc>
        <w:tc>
          <w:tcPr>
            <w:tcW w:w="1817" w:type="dxa"/>
          </w:tcPr>
          <w:p w:rsidR="000E270E" w:rsidRDefault="000E270E" w:rsidP="000E270E">
            <w:r>
              <w:t>Moody Lake</w:t>
            </w:r>
          </w:p>
        </w:tc>
        <w:tc>
          <w:tcPr>
            <w:tcW w:w="990" w:type="dxa"/>
          </w:tcPr>
          <w:p w:rsidR="000E270E" w:rsidRDefault="000E270E">
            <w:r>
              <w:t>n/a</w:t>
            </w:r>
          </w:p>
        </w:tc>
        <w:tc>
          <w:tcPr>
            <w:tcW w:w="2988" w:type="dxa"/>
          </w:tcPr>
          <w:p w:rsidR="000E270E" w:rsidRDefault="000E270E">
            <w:r>
              <w:t>2005-2007</w:t>
            </w:r>
          </w:p>
        </w:tc>
        <w:tc>
          <w:tcPr>
            <w:tcW w:w="5683" w:type="dxa"/>
            <w:vMerge w:val="restart"/>
          </w:tcPr>
          <w:p w:rsidR="000E270E" w:rsidRDefault="000E270E"/>
        </w:tc>
      </w:tr>
      <w:tr w:rsidR="000E270E" w:rsidTr="009469F8">
        <w:trPr>
          <w:trHeight w:val="140"/>
        </w:trPr>
        <w:tc>
          <w:tcPr>
            <w:tcW w:w="3138" w:type="dxa"/>
            <w:vMerge/>
            <w:shd w:val="clear" w:color="auto" w:fill="C6D9F1" w:themeFill="text2" w:themeFillTint="33"/>
          </w:tcPr>
          <w:p w:rsidR="000E270E" w:rsidRPr="00003C88" w:rsidRDefault="000E270E" w:rsidP="00981D93">
            <w:pPr>
              <w:rPr>
                <w:b/>
              </w:rPr>
            </w:pPr>
          </w:p>
        </w:tc>
        <w:tc>
          <w:tcPr>
            <w:tcW w:w="1817" w:type="dxa"/>
          </w:tcPr>
          <w:p w:rsidR="000E270E" w:rsidRDefault="000E270E">
            <w:r>
              <w:t>Bone Lake</w:t>
            </w:r>
          </w:p>
        </w:tc>
        <w:tc>
          <w:tcPr>
            <w:tcW w:w="990" w:type="dxa"/>
          </w:tcPr>
          <w:p w:rsidR="000E270E" w:rsidRDefault="000E270E">
            <w:r w:rsidRPr="002C2CF7">
              <w:t>n/a</w:t>
            </w:r>
          </w:p>
        </w:tc>
        <w:tc>
          <w:tcPr>
            <w:tcW w:w="2988" w:type="dxa"/>
          </w:tcPr>
          <w:p w:rsidR="000E270E" w:rsidRDefault="000E270E">
            <w:r>
              <w:t>1997-2007</w:t>
            </w:r>
          </w:p>
        </w:tc>
        <w:tc>
          <w:tcPr>
            <w:tcW w:w="5683" w:type="dxa"/>
            <w:vMerge/>
          </w:tcPr>
          <w:p w:rsidR="000E270E" w:rsidRDefault="000E270E"/>
        </w:tc>
      </w:tr>
      <w:tr w:rsidR="000E270E" w:rsidTr="009469F8">
        <w:trPr>
          <w:trHeight w:val="140"/>
        </w:trPr>
        <w:tc>
          <w:tcPr>
            <w:tcW w:w="3138" w:type="dxa"/>
            <w:vMerge/>
            <w:shd w:val="clear" w:color="auto" w:fill="C6D9F1" w:themeFill="text2" w:themeFillTint="33"/>
          </w:tcPr>
          <w:p w:rsidR="000E270E" w:rsidRPr="00003C88" w:rsidRDefault="000E270E" w:rsidP="00981D93">
            <w:pPr>
              <w:rPr>
                <w:b/>
              </w:rPr>
            </w:pPr>
          </w:p>
        </w:tc>
        <w:tc>
          <w:tcPr>
            <w:tcW w:w="1817" w:type="dxa"/>
          </w:tcPr>
          <w:p w:rsidR="000E270E" w:rsidRDefault="000E270E">
            <w:r>
              <w:t>School Lake</w:t>
            </w:r>
          </w:p>
        </w:tc>
        <w:tc>
          <w:tcPr>
            <w:tcW w:w="990" w:type="dxa"/>
          </w:tcPr>
          <w:p w:rsidR="000E270E" w:rsidRDefault="000E270E">
            <w:r w:rsidRPr="002C2CF7">
              <w:t>n/a</w:t>
            </w:r>
          </w:p>
        </w:tc>
        <w:tc>
          <w:tcPr>
            <w:tcW w:w="2988" w:type="dxa"/>
          </w:tcPr>
          <w:p w:rsidR="000E270E" w:rsidRDefault="000E270E">
            <w:r>
              <w:t>2005-2007</w:t>
            </w:r>
          </w:p>
        </w:tc>
        <w:tc>
          <w:tcPr>
            <w:tcW w:w="5683" w:type="dxa"/>
            <w:vMerge/>
          </w:tcPr>
          <w:p w:rsidR="000E270E" w:rsidRDefault="000E270E"/>
        </w:tc>
      </w:tr>
      <w:tr w:rsidR="000E270E" w:rsidTr="009469F8">
        <w:trPr>
          <w:trHeight w:val="140"/>
        </w:trPr>
        <w:tc>
          <w:tcPr>
            <w:tcW w:w="3138" w:type="dxa"/>
            <w:vMerge/>
            <w:shd w:val="clear" w:color="auto" w:fill="C6D9F1" w:themeFill="text2" w:themeFillTint="33"/>
          </w:tcPr>
          <w:p w:rsidR="000E270E" w:rsidRPr="00003C88" w:rsidRDefault="000E270E" w:rsidP="00981D93">
            <w:pPr>
              <w:rPr>
                <w:b/>
              </w:rPr>
            </w:pPr>
          </w:p>
        </w:tc>
        <w:tc>
          <w:tcPr>
            <w:tcW w:w="1817" w:type="dxa"/>
          </w:tcPr>
          <w:p w:rsidR="000E270E" w:rsidRDefault="000E270E">
            <w:r>
              <w:t>Little Comfort Lake</w:t>
            </w:r>
          </w:p>
        </w:tc>
        <w:tc>
          <w:tcPr>
            <w:tcW w:w="990" w:type="dxa"/>
          </w:tcPr>
          <w:p w:rsidR="000E270E" w:rsidRDefault="000E270E">
            <w:r w:rsidRPr="002C2CF7">
              <w:t>n/a</w:t>
            </w:r>
          </w:p>
        </w:tc>
        <w:tc>
          <w:tcPr>
            <w:tcW w:w="2988" w:type="dxa"/>
          </w:tcPr>
          <w:p w:rsidR="000E270E" w:rsidRDefault="000E270E">
            <w:r>
              <w:t>2006-2007</w:t>
            </w:r>
          </w:p>
        </w:tc>
        <w:tc>
          <w:tcPr>
            <w:tcW w:w="5683" w:type="dxa"/>
            <w:vMerge/>
          </w:tcPr>
          <w:p w:rsidR="000E270E" w:rsidRDefault="000E270E"/>
        </w:tc>
      </w:tr>
      <w:tr w:rsidR="000E270E" w:rsidTr="009469F8">
        <w:trPr>
          <w:trHeight w:val="140"/>
        </w:trPr>
        <w:tc>
          <w:tcPr>
            <w:tcW w:w="3138" w:type="dxa"/>
            <w:vMerge/>
            <w:shd w:val="clear" w:color="auto" w:fill="C6D9F1" w:themeFill="text2" w:themeFillTint="33"/>
          </w:tcPr>
          <w:p w:rsidR="000E270E" w:rsidRPr="00003C88" w:rsidRDefault="000E270E" w:rsidP="00981D93">
            <w:pPr>
              <w:rPr>
                <w:b/>
              </w:rPr>
            </w:pPr>
          </w:p>
        </w:tc>
        <w:tc>
          <w:tcPr>
            <w:tcW w:w="1817" w:type="dxa"/>
          </w:tcPr>
          <w:p w:rsidR="000E270E" w:rsidRDefault="000E270E">
            <w:r>
              <w:t>Shields Lake</w:t>
            </w:r>
          </w:p>
        </w:tc>
        <w:tc>
          <w:tcPr>
            <w:tcW w:w="990" w:type="dxa"/>
          </w:tcPr>
          <w:p w:rsidR="000E270E" w:rsidRDefault="000E270E">
            <w:r w:rsidRPr="002C2CF7">
              <w:t>n/a</w:t>
            </w:r>
          </w:p>
        </w:tc>
        <w:tc>
          <w:tcPr>
            <w:tcW w:w="2988" w:type="dxa"/>
          </w:tcPr>
          <w:p w:rsidR="000E270E" w:rsidRDefault="000E270E">
            <w:r>
              <w:t>1997-2007</w:t>
            </w:r>
          </w:p>
        </w:tc>
        <w:tc>
          <w:tcPr>
            <w:tcW w:w="5683" w:type="dxa"/>
            <w:vMerge/>
          </w:tcPr>
          <w:p w:rsidR="000E270E" w:rsidRDefault="000E270E"/>
        </w:tc>
      </w:tr>
      <w:tr w:rsidR="000E270E" w:rsidTr="009469F8">
        <w:trPr>
          <w:trHeight w:val="140"/>
        </w:trPr>
        <w:tc>
          <w:tcPr>
            <w:tcW w:w="3138" w:type="dxa"/>
            <w:vMerge/>
            <w:shd w:val="clear" w:color="auto" w:fill="C6D9F1" w:themeFill="text2" w:themeFillTint="33"/>
          </w:tcPr>
          <w:p w:rsidR="000E270E" w:rsidRPr="00003C88" w:rsidRDefault="000E270E" w:rsidP="00981D93">
            <w:pPr>
              <w:rPr>
                <w:b/>
              </w:rPr>
            </w:pPr>
          </w:p>
        </w:tc>
        <w:tc>
          <w:tcPr>
            <w:tcW w:w="1817" w:type="dxa"/>
          </w:tcPr>
          <w:p w:rsidR="000E270E" w:rsidRDefault="000E270E">
            <w:r>
              <w:t>Comfort Lake</w:t>
            </w:r>
          </w:p>
        </w:tc>
        <w:tc>
          <w:tcPr>
            <w:tcW w:w="990" w:type="dxa"/>
          </w:tcPr>
          <w:p w:rsidR="000E270E" w:rsidRDefault="000E270E">
            <w:r w:rsidRPr="002C2CF7">
              <w:t>n/a</w:t>
            </w:r>
          </w:p>
        </w:tc>
        <w:tc>
          <w:tcPr>
            <w:tcW w:w="2988" w:type="dxa"/>
          </w:tcPr>
          <w:p w:rsidR="000E270E" w:rsidRDefault="000E270E">
            <w:r>
              <w:t>1997-2007</w:t>
            </w:r>
          </w:p>
        </w:tc>
        <w:tc>
          <w:tcPr>
            <w:tcW w:w="5683" w:type="dxa"/>
            <w:vMerge/>
          </w:tcPr>
          <w:p w:rsidR="000E270E" w:rsidRDefault="000E270E"/>
        </w:tc>
      </w:tr>
      <w:bookmarkStart w:id="6" w:name="kniferiver"/>
      <w:tr w:rsidR="001F6675" w:rsidTr="009469F8">
        <w:tc>
          <w:tcPr>
            <w:tcW w:w="3138" w:type="dxa"/>
            <w:shd w:val="clear" w:color="auto" w:fill="C6D9F1" w:themeFill="text2" w:themeFillTint="33"/>
          </w:tcPr>
          <w:p w:rsidR="001F6675" w:rsidRPr="00003C88" w:rsidRDefault="001F6675" w:rsidP="00981D93">
            <w:pPr>
              <w:rPr>
                <w:rFonts w:eastAsia="Calibri" w:cs="Times New Roman"/>
                <w:b/>
              </w:rPr>
            </w:pPr>
            <w:r w:rsidRPr="00003C88">
              <w:rPr>
                <w:rFonts w:eastAsia="Calibri" w:cs="Times New Roman"/>
                <w:b/>
              </w:rPr>
              <w:fldChar w:fldCharType="begin"/>
            </w:r>
            <w:r w:rsidRPr="00003C88">
              <w:rPr>
                <w:rFonts w:eastAsia="Calibri" w:cs="Times New Roman"/>
                <w:b/>
              </w:rPr>
              <w:instrText xml:space="preserve"> HYPERLINK  \l "tablecontents" </w:instrText>
            </w:r>
            <w:r w:rsidRPr="00003C88">
              <w:rPr>
                <w:rFonts w:eastAsia="Calibri" w:cs="Times New Roman"/>
                <w:b/>
              </w:rPr>
              <w:fldChar w:fldCharType="separate"/>
            </w:r>
            <w:r w:rsidRPr="00003C88">
              <w:rPr>
                <w:rFonts w:eastAsia="Calibri" w:cs="Times New Roman"/>
                <w:b/>
              </w:rPr>
              <w:t>Knife River: Turbidity</w:t>
            </w:r>
            <w:r w:rsidRPr="00003C88">
              <w:rPr>
                <w:rFonts w:eastAsia="Calibri" w:cs="Times New Roman"/>
                <w:b/>
              </w:rPr>
              <w:fldChar w:fldCharType="end"/>
            </w:r>
          </w:p>
          <w:bookmarkEnd w:id="6"/>
          <w:p w:rsidR="001F6675" w:rsidRPr="00003C88" w:rsidRDefault="001F6675" w:rsidP="00981D93">
            <w:pPr>
              <w:spacing w:after="200" w:line="276" w:lineRule="auto"/>
              <w:contextualSpacing/>
              <w:rPr>
                <w:rFonts w:eastAsia="Calibri" w:cs="Times New Roman"/>
                <w:b/>
              </w:rPr>
            </w:pPr>
          </w:p>
        </w:tc>
        <w:tc>
          <w:tcPr>
            <w:tcW w:w="1817" w:type="dxa"/>
          </w:tcPr>
          <w:p w:rsidR="001F6675" w:rsidRDefault="005E1BA9">
            <w:r>
              <w:t>All</w:t>
            </w:r>
          </w:p>
        </w:tc>
        <w:tc>
          <w:tcPr>
            <w:tcW w:w="990" w:type="dxa"/>
          </w:tcPr>
          <w:p w:rsidR="001F6675" w:rsidRDefault="005E1BA9">
            <w:r>
              <w:t>n/a</w:t>
            </w:r>
          </w:p>
        </w:tc>
        <w:tc>
          <w:tcPr>
            <w:tcW w:w="2988" w:type="dxa"/>
          </w:tcPr>
          <w:p w:rsidR="001F6675" w:rsidRDefault="001F6675"/>
        </w:tc>
        <w:tc>
          <w:tcPr>
            <w:tcW w:w="5683" w:type="dxa"/>
          </w:tcPr>
          <w:p w:rsidR="001F6675" w:rsidRDefault="005E1BA9">
            <w:r w:rsidRPr="005E1BA9">
              <w:t xml:space="preserve">A specific baseline year is not defined in the TMDL report.  Of the three years used to develop the Load Duration Curve (2004, 2005, </w:t>
            </w:r>
            <w:proofErr w:type="gramStart"/>
            <w:r w:rsidRPr="005E1BA9">
              <w:t>2006</w:t>
            </w:r>
            <w:proofErr w:type="gramEnd"/>
            <w:r w:rsidRPr="005E1BA9">
              <w:t>), flows and sediment loads were greatest in 2005.</w:t>
            </w:r>
          </w:p>
        </w:tc>
      </w:tr>
      <w:bookmarkStart w:id="7" w:name="silverlake"/>
      <w:tr w:rsidR="001F6675" w:rsidTr="009469F8">
        <w:tc>
          <w:tcPr>
            <w:tcW w:w="3138" w:type="dxa"/>
            <w:shd w:val="clear" w:color="auto" w:fill="C6D9F1" w:themeFill="text2" w:themeFillTint="33"/>
          </w:tcPr>
          <w:p w:rsidR="001F6675" w:rsidRPr="00003C88" w:rsidRDefault="001F6675" w:rsidP="00981D93">
            <w:pPr>
              <w:rPr>
                <w:rFonts w:eastAsia="Calibri" w:cs="Times New Roman"/>
                <w:b/>
              </w:rPr>
            </w:pPr>
            <w:r w:rsidRPr="00003C88">
              <w:rPr>
                <w:rFonts w:eastAsia="Calibri" w:cs="Times New Roman"/>
                <w:b/>
              </w:rPr>
              <w:fldChar w:fldCharType="begin"/>
            </w:r>
            <w:r w:rsidRPr="00003C88">
              <w:rPr>
                <w:rFonts w:eastAsia="Calibri" w:cs="Times New Roman"/>
                <w:b/>
              </w:rPr>
              <w:instrText>HYPERLINK \l "tablecontents"</w:instrText>
            </w:r>
            <w:r w:rsidRPr="00003C88">
              <w:rPr>
                <w:rFonts w:eastAsia="Calibri" w:cs="Times New Roman"/>
                <w:b/>
              </w:rPr>
              <w:fldChar w:fldCharType="separate"/>
            </w:r>
            <w:r w:rsidRPr="00003C88">
              <w:rPr>
                <w:rFonts w:eastAsia="Calibri" w:cs="Times New Roman"/>
                <w:b/>
              </w:rPr>
              <w:t>Silver Lake: Excess Nutrients</w:t>
            </w:r>
            <w:r w:rsidRPr="00003C88">
              <w:rPr>
                <w:rFonts w:eastAsia="Calibri" w:cs="Times New Roman"/>
                <w:b/>
              </w:rPr>
              <w:fldChar w:fldCharType="end"/>
            </w:r>
            <w:bookmarkEnd w:id="7"/>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5E1BA9">
            <w:r>
              <w:t>Silver Lake</w:t>
            </w:r>
          </w:p>
        </w:tc>
        <w:tc>
          <w:tcPr>
            <w:tcW w:w="990" w:type="dxa"/>
          </w:tcPr>
          <w:p w:rsidR="001F6675" w:rsidRDefault="005E1BA9">
            <w:r>
              <w:t>n/a</w:t>
            </w:r>
          </w:p>
        </w:tc>
        <w:tc>
          <w:tcPr>
            <w:tcW w:w="2988" w:type="dxa"/>
          </w:tcPr>
          <w:p w:rsidR="001F6675" w:rsidRDefault="001F6675"/>
        </w:tc>
        <w:tc>
          <w:tcPr>
            <w:tcW w:w="5683" w:type="dxa"/>
          </w:tcPr>
          <w:p w:rsidR="001F6675" w:rsidRDefault="005E1BA9">
            <w:r>
              <w:t>P8 modeling was based on watershed conditions in 2007.</w:t>
            </w:r>
          </w:p>
        </w:tc>
      </w:tr>
      <w:bookmarkStart w:id="8" w:name="fishschwanz"/>
      <w:tr w:rsidR="006703C3" w:rsidTr="006703C3">
        <w:trPr>
          <w:trHeight w:val="420"/>
        </w:trPr>
        <w:tc>
          <w:tcPr>
            <w:tcW w:w="3138" w:type="dxa"/>
            <w:vMerge w:val="restart"/>
            <w:shd w:val="clear" w:color="auto" w:fill="C6D9F1" w:themeFill="text2" w:themeFillTint="33"/>
          </w:tcPr>
          <w:p w:rsidR="006703C3" w:rsidRPr="00003C88" w:rsidRDefault="006703C3" w:rsidP="00981D93">
            <w:pPr>
              <w:rPr>
                <w:rFonts w:eastAsia="Calibri" w:cs="Times New Roman"/>
                <w:b/>
              </w:rPr>
            </w:pPr>
            <w:r w:rsidRPr="00003C88">
              <w:rPr>
                <w:rFonts w:eastAsia="Calibri" w:cs="Times New Roman"/>
                <w:b/>
              </w:rPr>
              <w:fldChar w:fldCharType="begin"/>
            </w:r>
            <w:r w:rsidRPr="00003C88">
              <w:rPr>
                <w:rFonts w:eastAsia="Calibri" w:cs="Times New Roman"/>
                <w:b/>
              </w:rPr>
              <w:instrText>HYPERLINK \l "tablecontents"</w:instrText>
            </w:r>
            <w:r w:rsidRPr="00003C88">
              <w:rPr>
                <w:rFonts w:eastAsia="Calibri" w:cs="Times New Roman"/>
                <w:b/>
              </w:rPr>
              <w:fldChar w:fldCharType="separate"/>
            </w:r>
            <w:r w:rsidRPr="00003C88">
              <w:rPr>
                <w:rFonts w:eastAsia="Calibri" w:cs="Times New Roman"/>
                <w:b/>
              </w:rPr>
              <w:t xml:space="preserve">Fish and </w:t>
            </w:r>
            <w:proofErr w:type="spellStart"/>
            <w:r w:rsidRPr="00003C88">
              <w:rPr>
                <w:rFonts w:eastAsia="Calibri" w:cs="Times New Roman"/>
                <w:b/>
              </w:rPr>
              <w:t>Schwanz</w:t>
            </w:r>
            <w:proofErr w:type="spellEnd"/>
            <w:r w:rsidRPr="00003C88">
              <w:rPr>
                <w:rFonts w:eastAsia="Calibri" w:cs="Times New Roman"/>
                <w:b/>
              </w:rPr>
              <w:t xml:space="preserve"> lakes: Excess Nutrients</w:t>
            </w:r>
            <w:r w:rsidRPr="00003C88">
              <w:rPr>
                <w:rFonts w:eastAsia="Calibri" w:cs="Times New Roman"/>
                <w:b/>
              </w:rPr>
              <w:fldChar w:fldCharType="end"/>
            </w:r>
            <w:bookmarkEnd w:id="8"/>
          </w:p>
          <w:p w:rsidR="006703C3" w:rsidRPr="00003C88" w:rsidRDefault="006703C3" w:rsidP="00981D93">
            <w:pPr>
              <w:spacing w:after="200" w:line="276" w:lineRule="auto"/>
              <w:contextualSpacing/>
              <w:rPr>
                <w:rFonts w:eastAsia="Calibri" w:cs="Times New Roman"/>
                <w:b/>
              </w:rPr>
            </w:pPr>
          </w:p>
        </w:tc>
        <w:tc>
          <w:tcPr>
            <w:tcW w:w="1817" w:type="dxa"/>
          </w:tcPr>
          <w:p w:rsidR="006703C3" w:rsidRDefault="006703C3">
            <w:r>
              <w:t>Fish Lake</w:t>
            </w:r>
          </w:p>
        </w:tc>
        <w:tc>
          <w:tcPr>
            <w:tcW w:w="990" w:type="dxa"/>
          </w:tcPr>
          <w:p w:rsidR="006703C3" w:rsidRDefault="006703C3">
            <w:r>
              <w:t>n/a</w:t>
            </w:r>
          </w:p>
        </w:tc>
        <w:tc>
          <w:tcPr>
            <w:tcW w:w="2988" w:type="dxa"/>
          </w:tcPr>
          <w:p w:rsidR="006703C3" w:rsidRDefault="006703C3"/>
        </w:tc>
        <w:tc>
          <w:tcPr>
            <w:tcW w:w="5683" w:type="dxa"/>
            <w:vMerge w:val="restart"/>
          </w:tcPr>
          <w:p w:rsidR="006703C3" w:rsidRDefault="00CA6030" w:rsidP="00CA6030">
            <w:r>
              <w:t>The models were used to a</w:t>
            </w:r>
            <w:r>
              <w:t xml:space="preserve">nalyze a range of </w:t>
            </w:r>
            <w:proofErr w:type="gramStart"/>
            <w:r>
              <w:t xml:space="preserve">precipitation  </w:t>
            </w:r>
            <w:r>
              <w:t>conditions</w:t>
            </w:r>
            <w:proofErr w:type="gramEnd"/>
            <w:r>
              <w:t>, including representative wet (2002), dry (2008), and average (2006) years.</w:t>
            </w:r>
          </w:p>
        </w:tc>
      </w:tr>
      <w:tr w:rsidR="006703C3" w:rsidTr="009469F8">
        <w:trPr>
          <w:trHeight w:val="420"/>
        </w:trPr>
        <w:tc>
          <w:tcPr>
            <w:tcW w:w="3138" w:type="dxa"/>
            <w:vMerge/>
            <w:shd w:val="clear" w:color="auto" w:fill="C6D9F1" w:themeFill="text2" w:themeFillTint="33"/>
          </w:tcPr>
          <w:p w:rsidR="006703C3" w:rsidRPr="00003C88" w:rsidRDefault="006703C3" w:rsidP="00981D93">
            <w:pPr>
              <w:rPr>
                <w:rFonts w:eastAsia="Calibri" w:cs="Times New Roman"/>
                <w:b/>
              </w:rPr>
            </w:pPr>
          </w:p>
        </w:tc>
        <w:tc>
          <w:tcPr>
            <w:tcW w:w="1817" w:type="dxa"/>
          </w:tcPr>
          <w:p w:rsidR="006703C3" w:rsidRDefault="006703C3">
            <w:proofErr w:type="spellStart"/>
            <w:r>
              <w:t>Schwanz</w:t>
            </w:r>
            <w:proofErr w:type="spellEnd"/>
            <w:r>
              <w:t xml:space="preserve"> Lake</w:t>
            </w:r>
          </w:p>
        </w:tc>
        <w:tc>
          <w:tcPr>
            <w:tcW w:w="990" w:type="dxa"/>
          </w:tcPr>
          <w:p w:rsidR="006703C3" w:rsidRDefault="006703C3">
            <w:r>
              <w:t>n/a</w:t>
            </w:r>
          </w:p>
        </w:tc>
        <w:tc>
          <w:tcPr>
            <w:tcW w:w="2988" w:type="dxa"/>
          </w:tcPr>
          <w:p w:rsidR="006703C3" w:rsidRDefault="006703C3"/>
        </w:tc>
        <w:tc>
          <w:tcPr>
            <w:tcW w:w="5683" w:type="dxa"/>
            <w:vMerge/>
          </w:tcPr>
          <w:p w:rsidR="006703C3" w:rsidRDefault="006703C3"/>
        </w:tc>
      </w:tr>
      <w:tr w:rsidR="001F6675" w:rsidTr="009469F8">
        <w:tc>
          <w:tcPr>
            <w:tcW w:w="3138" w:type="dxa"/>
            <w:shd w:val="clear" w:color="auto" w:fill="C6D9F1" w:themeFill="text2" w:themeFillTint="33"/>
          </w:tcPr>
          <w:p w:rsidR="001F6675" w:rsidRPr="00003C88" w:rsidRDefault="006703C3" w:rsidP="00981D93">
            <w:pPr>
              <w:spacing w:after="200" w:line="276" w:lineRule="auto"/>
              <w:contextualSpacing/>
              <w:rPr>
                <w:rFonts w:eastAsia="Calibri" w:cs="Times New Roman"/>
                <w:b/>
              </w:rPr>
            </w:pPr>
            <w:hyperlink w:anchor="tablecontents" w:history="1">
              <w:r w:rsidR="001F6675" w:rsidRPr="00003C88">
                <w:rPr>
                  <w:rFonts w:eastAsia="Calibri" w:cs="Times New Roman"/>
                  <w:b/>
                </w:rPr>
                <w:t>Reitz Lake: Excess Nutrients</w:t>
              </w:r>
            </w:hyperlink>
          </w:p>
        </w:tc>
        <w:tc>
          <w:tcPr>
            <w:tcW w:w="1817" w:type="dxa"/>
          </w:tcPr>
          <w:p w:rsidR="001F6675" w:rsidRDefault="005E1BA9">
            <w:r>
              <w:t>Reitz Lake</w:t>
            </w:r>
          </w:p>
        </w:tc>
        <w:tc>
          <w:tcPr>
            <w:tcW w:w="990" w:type="dxa"/>
          </w:tcPr>
          <w:p w:rsidR="001F6675" w:rsidRDefault="005E1BA9">
            <w:r>
              <w:t>n/a</w:t>
            </w:r>
          </w:p>
        </w:tc>
        <w:tc>
          <w:tcPr>
            <w:tcW w:w="2988" w:type="dxa"/>
          </w:tcPr>
          <w:p w:rsidR="001F6675" w:rsidRDefault="001F6675"/>
        </w:tc>
        <w:tc>
          <w:tcPr>
            <w:tcW w:w="5683" w:type="dxa"/>
          </w:tcPr>
          <w:p w:rsidR="001F6675" w:rsidRDefault="005E1BA9">
            <w:r w:rsidRPr="005E1BA9">
              <w:t xml:space="preserve">Monitoring occurred from the </w:t>
            </w:r>
            <w:proofErr w:type="gramStart"/>
            <w:r w:rsidRPr="005E1BA9">
              <w:t>mid-1980’s</w:t>
            </w:r>
            <w:proofErr w:type="gramEnd"/>
            <w:r w:rsidRPr="005E1BA9">
              <w:t xml:space="preserve"> to present.  The year 2004 was used to calibrate the watershed model.  No BMPs were assumed in the export coefficient, but this may not accurately reflect watershed conditions since the coefficients used in the model come from a literature review (</w:t>
            </w:r>
            <w:proofErr w:type="spellStart"/>
            <w:r w:rsidRPr="005E1BA9">
              <w:t>Reckhow</w:t>
            </w:r>
            <w:proofErr w:type="spellEnd"/>
            <w:r w:rsidRPr="005E1BA9">
              <w:t xml:space="preserve">, Kenneth H., </w:t>
            </w:r>
            <w:proofErr w:type="spellStart"/>
            <w:r w:rsidRPr="005E1BA9">
              <w:t>Beaulac</w:t>
            </w:r>
            <w:proofErr w:type="spellEnd"/>
            <w:r w:rsidRPr="005E1BA9">
              <w:t xml:space="preserve">, Michael N., Simpson, Jonathan T., </w:t>
            </w:r>
            <w:proofErr w:type="gramStart"/>
            <w:r w:rsidRPr="005E1BA9">
              <w:t>June</w:t>
            </w:r>
            <w:proofErr w:type="gramEnd"/>
            <w:r w:rsidRPr="005E1BA9">
              <w:t xml:space="preserve"> 1980. Modeling Phosphorus Loading and Lake Response Under Uncertainty: A Manual and Compilation of Export Coefficients. Department of Resource Development, Michigan State University).</w:t>
            </w:r>
          </w:p>
        </w:tc>
      </w:tr>
      <w:bookmarkStart w:id="9" w:name="carverlakes"/>
      <w:tr w:rsidR="00401B14" w:rsidTr="00401B14">
        <w:trPr>
          <w:trHeight w:val="210"/>
        </w:trPr>
        <w:tc>
          <w:tcPr>
            <w:tcW w:w="3138" w:type="dxa"/>
            <w:vMerge w:val="restart"/>
            <w:shd w:val="clear" w:color="auto" w:fill="C6D9F1" w:themeFill="text2" w:themeFillTint="33"/>
          </w:tcPr>
          <w:p w:rsidR="00401B14" w:rsidRPr="00003C88" w:rsidRDefault="00401B14" w:rsidP="00981D93">
            <w:pPr>
              <w:rPr>
                <w:rFonts w:eastAsia="Calibri" w:cs="Times New Roman"/>
                <w:b/>
              </w:rPr>
            </w:pPr>
            <w:r w:rsidRPr="00003C88">
              <w:rPr>
                <w:rFonts w:eastAsia="Calibri" w:cs="Times New Roman"/>
                <w:b/>
              </w:rPr>
              <w:fldChar w:fldCharType="begin"/>
            </w:r>
            <w:r w:rsidRPr="00003C88">
              <w:rPr>
                <w:rFonts w:eastAsia="Calibri" w:cs="Times New Roman"/>
                <w:b/>
              </w:rPr>
              <w:instrText>HYPERLINK \l "tablecontents"</w:instrText>
            </w:r>
            <w:r w:rsidRPr="00003C88">
              <w:rPr>
                <w:rFonts w:eastAsia="Calibri" w:cs="Times New Roman"/>
                <w:b/>
              </w:rPr>
              <w:fldChar w:fldCharType="separate"/>
            </w:r>
            <w:r w:rsidRPr="00003C88">
              <w:rPr>
                <w:rFonts w:eastAsia="Calibri" w:cs="Times New Roman"/>
                <w:b/>
              </w:rPr>
              <w:t>Carver Creek Lakes: Excess Nutrients</w:t>
            </w:r>
            <w:r w:rsidRPr="00003C88">
              <w:rPr>
                <w:rFonts w:eastAsia="Calibri" w:cs="Times New Roman"/>
                <w:b/>
              </w:rPr>
              <w:fldChar w:fldCharType="end"/>
            </w:r>
          </w:p>
          <w:bookmarkEnd w:id="9"/>
          <w:p w:rsidR="00401B14" w:rsidRPr="00003C88" w:rsidRDefault="00401B14" w:rsidP="00981D93">
            <w:pPr>
              <w:spacing w:after="200" w:line="276" w:lineRule="auto"/>
              <w:contextualSpacing/>
              <w:rPr>
                <w:rFonts w:eastAsia="Calibri" w:cs="Times New Roman"/>
                <w:b/>
              </w:rPr>
            </w:pPr>
          </w:p>
        </w:tc>
        <w:tc>
          <w:tcPr>
            <w:tcW w:w="1817" w:type="dxa"/>
          </w:tcPr>
          <w:p w:rsidR="00401B14" w:rsidRPr="00CD058D" w:rsidRDefault="00401B14" w:rsidP="009A0BFB">
            <w:r w:rsidRPr="00CD058D">
              <w:t>Goose Lake</w:t>
            </w:r>
          </w:p>
        </w:tc>
        <w:tc>
          <w:tcPr>
            <w:tcW w:w="990" w:type="dxa"/>
          </w:tcPr>
          <w:p w:rsidR="00401B14" w:rsidRDefault="00401B14">
            <w:r>
              <w:t>n/a</w:t>
            </w:r>
          </w:p>
        </w:tc>
        <w:tc>
          <w:tcPr>
            <w:tcW w:w="2988" w:type="dxa"/>
            <w:vMerge w:val="restart"/>
          </w:tcPr>
          <w:p w:rsidR="00401B14" w:rsidRDefault="00401B14"/>
        </w:tc>
        <w:tc>
          <w:tcPr>
            <w:tcW w:w="5683" w:type="dxa"/>
            <w:vMerge w:val="restart"/>
          </w:tcPr>
          <w:p w:rsidR="00401B14" w:rsidRDefault="00401B14">
            <w:r w:rsidRPr="00CF2398">
              <w:t>The WLA is considered to apply to average precipitation conditions.  These occurred in 2001</w:t>
            </w:r>
            <w:r>
              <w:t xml:space="preserve"> (Winkler)</w:t>
            </w:r>
            <w:r w:rsidRPr="00CF2398">
              <w:t xml:space="preserve"> and 2004</w:t>
            </w:r>
            <w:r>
              <w:t xml:space="preserve"> (Goose, </w:t>
            </w:r>
            <w:proofErr w:type="spellStart"/>
            <w:r>
              <w:t>Hydes</w:t>
            </w:r>
            <w:proofErr w:type="spellEnd"/>
            <w:r>
              <w:t>, Miller).</w:t>
            </w:r>
          </w:p>
        </w:tc>
      </w:tr>
      <w:tr w:rsidR="00401B14" w:rsidTr="009469F8">
        <w:trPr>
          <w:trHeight w:val="210"/>
        </w:trPr>
        <w:tc>
          <w:tcPr>
            <w:tcW w:w="3138" w:type="dxa"/>
            <w:vMerge/>
            <w:shd w:val="clear" w:color="auto" w:fill="C6D9F1" w:themeFill="text2" w:themeFillTint="33"/>
          </w:tcPr>
          <w:p w:rsidR="00401B14" w:rsidRPr="00003C88" w:rsidRDefault="00401B14" w:rsidP="00981D93">
            <w:pPr>
              <w:rPr>
                <w:rFonts w:eastAsia="Calibri" w:cs="Times New Roman"/>
                <w:b/>
              </w:rPr>
            </w:pPr>
          </w:p>
        </w:tc>
        <w:tc>
          <w:tcPr>
            <w:tcW w:w="1817" w:type="dxa"/>
          </w:tcPr>
          <w:p w:rsidR="00401B14" w:rsidRPr="00CD058D" w:rsidRDefault="00401B14" w:rsidP="009A0BFB">
            <w:proofErr w:type="spellStart"/>
            <w:r w:rsidRPr="00CD058D">
              <w:t>Hydes</w:t>
            </w:r>
            <w:proofErr w:type="spellEnd"/>
            <w:r w:rsidRPr="00CD058D">
              <w:t xml:space="preserve"> Lake</w:t>
            </w:r>
          </w:p>
        </w:tc>
        <w:tc>
          <w:tcPr>
            <w:tcW w:w="990" w:type="dxa"/>
          </w:tcPr>
          <w:p w:rsidR="00401B14" w:rsidRDefault="00401B14"/>
        </w:tc>
        <w:tc>
          <w:tcPr>
            <w:tcW w:w="2988" w:type="dxa"/>
            <w:vMerge/>
          </w:tcPr>
          <w:p w:rsidR="00401B14" w:rsidRDefault="00401B14"/>
        </w:tc>
        <w:tc>
          <w:tcPr>
            <w:tcW w:w="5683" w:type="dxa"/>
            <w:vMerge/>
          </w:tcPr>
          <w:p w:rsidR="00401B14" w:rsidRPr="00CF2398" w:rsidRDefault="00401B14"/>
        </w:tc>
      </w:tr>
      <w:tr w:rsidR="00401B14" w:rsidTr="009469F8">
        <w:trPr>
          <w:trHeight w:val="210"/>
        </w:trPr>
        <w:tc>
          <w:tcPr>
            <w:tcW w:w="3138" w:type="dxa"/>
            <w:vMerge/>
            <w:shd w:val="clear" w:color="auto" w:fill="C6D9F1" w:themeFill="text2" w:themeFillTint="33"/>
          </w:tcPr>
          <w:p w:rsidR="00401B14" w:rsidRPr="00003C88" w:rsidRDefault="00401B14" w:rsidP="00981D93">
            <w:pPr>
              <w:rPr>
                <w:rFonts w:eastAsia="Calibri" w:cs="Times New Roman"/>
                <w:b/>
              </w:rPr>
            </w:pPr>
          </w:p>
        </w:tc>
        <w:tc>
          <w:tcPr>
            <w:tcW w:w="1817" w:type="dxa"/>
          </w:tcPr>
          <w:p w:rsidR="00401B14" w:rsidRPr="00CD058D" w:rsidRDefault="00401B14" w:rsidP="009A0BFB">
            <w:r w:rsidRPr="00CD058D">
              <w:t>Miller Lake</w:t>
            </w:r>
          </w:p>
        </w:tc>
        <w:tc>
          <w:tcPr>
            <w:tcW w:w="990" w:type="dxa"/>
          </w:tcPr>
          <w:p w:rsidR="00401B14" w:rsidRDefault="00401B14"/>
        </w:tc>
        <w:tc>
          <w:tcPr>
            <w:tcW w:w="2988" w:type="dxa"/>
            <w:vMerge/>
          </w:tcPr>
          <w:p w:rsidR="00401B14" w:rsidRDefault="00401B14"/>
        </w:tc>
        <w:tc>
          <w:tcPr>
            <w:tcW w:w="5683" w:type="dxa"/>
            <w:vMerge/>
          </w:tcPr>
          <w:p w:rsidR="00401B14" w:rsidRPr="00CF2398" w:rsidRDefault="00401B14"/>
        </w:tc>
      </w:tr>
      <w:tr w:rsidR="00401B14" w:rsidTr="009469F8">
        <w:trPr>
          <w:trHeight w:val="210"/>
        </w:trPr>
        <w:tc>
          <w:tcPr>
            <w:tcW w:w="3138" w:type="dxa"/>
            <w:vMerge/>
            <w:shd w:val="clear" w:color="auto" w:fill="C6D9F1" w:themeFill="text2" w:themeFillTint="33"/>
          </w:tcPr>
          <w:p w:rsidR="00401B14" w:rsidRPr="00003C88" w:rsidRDefault="00401B14" w:rsidP="00981D93">
            <w:pPr>
              <w:rPr>
                <w:rFonts w:eastAsia="Calibri" w:cs="Times New Roman"/>
                <w:b/>
              </w:rPr>
            </w:pPr>
          </w:p>
        </w:tc>
        <w:tc>
          <w:tcPr>
            <w:tcW w:w="1817" w:type="dxa"/>
          </w:tcPr>
          <w:p w:rsidR="00401B14" w:rsidRDefault="00401B14" w:rsidP="009A0BFB">
            <w:r w:rsidRPr="00CD058D">
              <w:t>Winkler Lake</w:t>
            </w:r>
          </w:p>
        </w:tc>
        <w:tc>
          <w:tcPr>
            <w:tcW w:w="990" w:type="dxa"/>
          </w:tcPr>
          <w:p w:rsidR="00401B14" w:rsidRDefault="00401B14"/>
        </w:tc>
        <w:tc>
          <w:tcPr>
            <w:tcW w:w="2988" w:type="dxa"/>
            <w:vMerge/>
          </w:tcPr>
          <w:p w:rsidR="00401B14" w:rsidRDefault="00401B14"/>
        </w:tc>
        <w:tc>
          <w:tcPr>
            <w:tcW w:w="5683" w:type="dxa"/>
            <w:vMerge/>
          </w:tcPr>
          <w:p w:rsidR="00401B14" w:rsidRPr="00CF2398" w:rsidRDefault="00401B14"/>
        </w:tc>
      </w:tr>
      <w:bookmarkStart w:id="10" w:name="magda"/>
      <w:tr w:rsidR="001F6675" w:rsidTr="009469F8">
        <w:tc>
          <w:tcPr>
            <w:tcW w:w="3138" w:type="dxa"/>
            <w:shd w:val="clear" w:color="auto" w:fill="C6D9F1" w:themeFill="text2" w:themeFillTint="33"/>
          </w:tcPr>
          <w:p w:rsidR="001F6675" w:rsidRPr="00003C88" w:rsidRDefault="001F6675" w:rsidP="00981D93">
            <w:pPr>
              <w:rPr>
                <w:rFonts w:eastAsia="Calibri" w:cs="Times New Roman"/>
                <w:b/>
              </w:rPr>
            </w:pPr>
            <w:r w:rsidRPr="00003C88">
              <w:rPr>
                <w:rFonts w:eastAsia="Calibri" w:cs="Times New Roman"/>
                <w:b/>
              </w:rPr>
              <w:fldChar w:fldCharType="begin"/>
            </w:r>
            <w:r w:rsidRPr="00003C88">
              <w:rPr>
                <w:rFonts w:eastAsia="Calibri" w:cs="Times New Roman"/>
                <w:b/>
              </w:rPr>
              <w:instrText xml:space="preserve"> HYPERLINK  \l "tablecontents" </w:instrText>
            </w:r>
            <w:r w:rsidRPr="00003C88">
              <w:rPr>
                <w:rFonts w:eastAsia="Calibri" w:cs="Times New Roman"/>
                <w:b/>
              </w:rPr>
              <w:fldChar w:fldCharType="separate"/>
            </w:r>
            <w:r w:rsidRPr="00003C88">
              <w:rPr>
                <w:rFonts w:eastAsia="Calibri" w:cs="Times New Roman"/>
                <w:b/>
              </w:rPr>
              <w:t>Magda Lake: Excess Nutrients</w:t>
            </w:r>
            <w:r w:rsidRPr="00003C88">
              <w:rPr>
                <w:rFonts w:eastAsia="Calibri" w:cs="Times New Roman"/>
                <w:b/>
              </w:rPr>
              <w:fldChar w:fldCharType="end"/>
            </w:r>
          </w:p>
          <w:bookmarkEnd w:id="10"/>
          <w:p w:rsidR="001F6675" w:rsidRPr="00003C88" w:rsidRDefault="001F6675" w:rsidP="00981D93">
            <w:pPr>
              <w:spacing w:after="200" w:line="276" w:lineRule="auto"/>
              <w:contextualSpacing/>
              <w:rPr>
                <w:rFonts w:eastAsia="Calibri" w:cs="Times New Roman"/>
                <w:b/>
              </w:rPr>
            </w:pPr>
          </w:p>
        </w:tc>
        <w:tc>
          <w:tcPr>
            <w:tcW w:w="1817" w:type="dxa"/>
          </w:tcPr>
          <w:p w:rsidR="001F6675" w:rsidRDefault="00CF2398">
            <w:r>
              <w:t>Magda Lake</w:t>
            </w:r>
          </w:p>
        </w:tc>
        <w:tc>
          <w:tcPr>
            <w:tcW w:w="990" w:type="dxa"/>
          </w:tcPr>
          <w:p w:rsidR="001F6675" w:rsidRDefault="00CF2398">
            <w:r>
              <w:t>n/a</w:t>
            </w:r>
          </w:p>
        </w:tc>
        <w:tc>
          <w:tcPr>
            <w:tcW w:w="2988" w:type="dxa"/>
          </w:tcPr>
          <w:p w:rsidR="001F6675" w:rsidRDefault="001F6675"/>
        </w:tc>
        <w:tc>
          <w:tcPr>
            <w:tcW w:w="5683" w:type="dxa"/>
          </w:tcPr>
          <w:p w:rsidR="001F6675" w:rsidRDefault="00CF2398">
            <w:r>
              <w:t>M</w:t>
            </w:r>
            <w:r w:rsidRPr="00CF2398">
              <w:t>onitoring and modeling was conducted over the period 1997 to 2006.  The XP-SWMM model was calibrated to 2002 data.  The P8 model subsequently used the calibrated SWMM model.  The year 2002 therefore represents a reasonable baseline year.</w:t>
            </w:r>
          </w:p>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Wirth Lake: Excess Nutrients (Metro)</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B568D8">
            <w:r>
              <w:t>Wirth Lake</w:t>
            </w:r>
          </w:p>
        </w:tc>
        <w:tc>
          <w:tcPr>
            <w:tcW w:w="990" w:type="dxa"/>
          </w:tcPr>
          <w:p w:rsidR="001F6675" w:rsidRDefault="00B568D8">
            <w:r>
              <w:t>n/a</w:t>
            </w:r>
          </w:p>
        </w:tc>
        <w:tc>
          <w:tcPr>
            <w:tcW w:w="2988" w:type="dxa"/>
          </w:tcPr>
          <w:p w:rsidR="001F6675" w:rsidRDefault="001F6675"/>
        </w:tc>
        <w:tc>
          <w:tcPr>
            <w:tcW w:w="5683" w:type="dxa"/>
          </w:tcPr>
          <w:p w:rsidR="001F6675" w:rsidRDefault="00B568D8">
            <w:r w:rsidRPr="00B568D8">
              <w:t>The allocations presente</w:t>
            </w:r>
            <w:r>
              <w:t xml:space="preserve">d in this TMDL are based on the </w:t>
            </w:r>
            <w:r w:rsidRPr="00B568D8">
              <w:t>managem</w:t>
            </w:r>
            <w:r>
              <w:t xml:space="preserve">ent scenarios required to bring </w:t>
            </w:r>
            <w:r w:rsidRPr="00B568D8">
              <w:t>the growing season</w:t>
            </w:r>
            <w:r>
              <w:t xml:space="preserve"> average TP concentration to 40 </w:t>
            </w:r>
            <w:r w:rsidRPr="00B568D8">
              <w:sym w:font="Symbol" w:char="F06D"/>
            </w:r>
            <w:r w:rsidRPr="00B568D8">
              <w:t xml:space="preserve">g/L (NCHF </w:t>
            </w:r>
            <w:r>
              <w:t>ecoregion</w:t>
            </w:r>
            <w:r w:rsidRPr="00B568D8">
              <w:t xml:space="preserve"> criteria) during the climactic conditions observed during the 2005-06 water year. Also, becau</w:t>
            </w:r>
            <w:r>
              <w:t xml:space="preserve">se it is a year of </w:t>
            </w:r>
            <w:r w:rsidRPr="00B568D8">
              <w:t>average precipitation, it serves as a fair baseline</w:t>
            </w:r>
            <w:r>
              <w:t xml:space="preserve"> to set allocations. It </w:t>
            </w:r>
            <w:r w:rsidRPr="00B568D8">
              <w:t xml:space="preserve">is reasonable to expect </w:t>
            </w:r>
            <w:r>
              <w:t xml:space="preserve">that, on average, phosphorus </w:t>
            </w:r>
            <w:r w:rsidRPr="00B568D8">
              <w:t xml:space="preserve">sources in the watershed will have existing watershed TP loads consistent with those modeled during the growing season of 2006. </w:t>
            </w:r>
          </w:p>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Nine Mile Creek: Impaired Biota, Turbidity, &amp; Chloride</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F54DA6">
            <w:r>
              <w:t>Nine Mile Creek</w:t>
            </w:r>
          </w:p>
        </w:tc>
        <w:tc>
          <w:tcPr>
            <w:tcW w:w="990" w:type="dxa"/>
          </w:tcPr>
          <w:p w:rsidR="001F6675" w:rsidRDefault="00F54DA6">
            <w:r>
              <w:t>n/a</w:t>
            </w:r>
          </w:p>
        </w:tc>
        <w:tc>
          <w:tcPr>
            <w:tcW w:w="2988" w:type="dxa"/>
          </w:tcPr>
          <w:p w:rsidR="001F6675" w:rsidRDefault="001F6675"/>
        </w:tc>
        <w:tc>
          <w:tcPr>
            <w:tcW w:w="5683" w:type="dxa"/>
          </w:tcPr>
          <w:p w:rsidR="001F6675" w:rsidRDefault="00F54DA6">
            <w:r w:rsidRPr="00F54DA6">
              <w:t>Existing average annual road salt appli</w:t>
            </w:r>
            <w:r>
              <w:t>cation rates were multiplied by</w:t>
            </w:r>
            <w:r w:rsidRPr="00F54DA6">
              <w:t xml:space="preserve"> attainable reduction percentages for </w:t>
            </w:r>
            <w:proofErr w:type="spellStart"/>
            <w:r w:rsidRPr="00F54DA6">
              <w:t>MnDOT</w:t>
            </w:r>
            <w:proofErr w:type="spellEnd"/>
            <w:r w:rsidRPr="00F54DA6">
              <w:t xml:space="preserve"> and Hennepin County to set the WLA for each MS4. The remainder of the available loading capacity was assigned to the categorical WLA for remaining MS4s.</w:t>
            </w:r>
          </w:p>
        </w:tc>
      </w:tr>
      <w:tr w:rsidR="001F6675" w:rsidTr="009469F8">
        <w:tc>
          <w:tcPr>
            <w:tcW w:w="3138" w:type="dxa"/>
            <w:shd w:val="clear" w:color="auto" w:fill="C6D9F1" w:themeFill="text2" w:themeFillTint="33"/>
          </w:tcPr>
          <w:p w:rsidR="001F6675" w:rsidRPr="00003C88" w:rsidRDefault="00536FAC" w:rsidP="00981D93">
            <w:pPr>
              <w:spacing w:after="200" w:line="276" w:lineRule="auto"/>
              <w:contextualSpacing/>
              <w:rPr>
                <w:rFonts w:eastAsia="Calibri" w:cs="Times New Roman"/>
                <w:b/>
              </w:rPr>
            </w:pPr>
            <w:r>
              <w:rPr>
                <w:rFonts w:eastAsia="Calibri" w:cs="Times New Roman"/>
                <w:b/>
              </w:rPr>
              <w:t>Browns</w:t>
            </w:r>
            <w:r w:rsidR="001F6675" w:rsidRPr="00003C88">
              <w:rPr>
                <w:rFonts w:eastAsia="Calibri" w:cs="Times New Roman"/>
                <w:b/>
              </w:rPr>
              <w:t xml:space="preserve"> Creek: Lack of </w:t>
            </w:r>
            <w:proofErr w:type="spellStart"/>
            <w:r w:rsidR="001F6675" w:rsidRPr="00003C88">
              <w:rPr>
                <w:rFonts w:eastAsia="Calibri" w:cs="Times New Roman"/>
                <w:b/>
              </w:rPr>
              <w:t>coldwater</w:t>
            </w:r>
            <w:proofErr w:type="spellEnd"/>
            <w:r w:rsidR="001F6675" w:rsidRPr="00003C88">
              <w:rPr>
                <w:rFonts w:eastAsia="Calibri" w:cs="Times New Roman"/>
                <w:b/>
              </w:rPr>
              <w:t xml:space="preserve"> assemblage and Impaired Biota</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536FAC">
            <w:r>
              <w:t>Browns Creek</w:t>
            </w:r>
          </w:p>
        </w:tc>
        <w:tc>
          <w:tcPr>
            <w:tcW w:w="990" w:type="dxa"/>
          </w:tcPr>
          <w:p w:rsidR="001F6675" w:rsidRDefault="00536FAC">
            <w:r>
              <w:t>2007</w:t>
            </w:r>
          </w:p>
        </w:tc>
        <w:tc>
          <w:tcPr>
            <w:tcW w:w="2988" w:type="dxa"/>
          </w:tcPr>
          <w:p w:rsidR="001F6675" w:rsidRDefault="001F6675"/>
        </w:tc>
        <w:tc>
          <w:tcPr>
            <w:tcW w:w="5683" w:type="dxa"/>
          </w:tcPr>
          <w:p w:rsidR="001F6675" w:rsidRDefault="001F6675"/>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Como Lake: Excess Nutrients</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4F09C5">
            <w:r>
              <w:t>Como Lake</w:t>
            </w:r>
          </w:p>
        </w:tc>
        <w:tc>
          <w:tcPr>
            <w:tcW w:w="990" w:type="dxa"/>
          </w:tcPr>
          <w:p w:rsidR="001F6675" w:rsidRDefault="004F09C5">
            <w:r>
              <w:t>2000</w:t>
            </w:r>
          </w:p>
        </w:tc>
        <w:tc>
          <w:tcPr>
            <w:tcW w:w="2988" w:type="dxa"/>
          </w:tcPr>
          <w:p w:rsidR="001F6675" w:rsidRDefault="001F6675"/>
        </w:tc>
        <w:tc>
          <w:tcPr>
            <w:tcW w:w="5683" w:type="dxa"/>
          </w:tcPr>
          <w:p w:rsidR="001F6675" w:rsidRDefault="001F6675"/>
        </w:tc>
      </w:tr>
      <w:tr w:rsidR="001F6675" w:rsidTr="009469F8">
        <w:tc>
          <w:tcPr>
            <w:tcW w:w="3138" w:type="dxa"/>
            <w:shd w:val="clear" w:color="auto" w:fill="C6D9F1" w:themeFill="text2" w:themeFillTint="33"/>
          </w:tcPr>
          <w:p w:rsidR="001F6675" w:rsidRPr="00003C88" w:rsidRDefault="006703C3" w:rsidP="00981D93">
            <w:pPr>
              <w:rPr>
                <w:rFonts w:eastAsia="Calibri" w:cs="Times New Roman"/>
                <w:b/>
              </w:rPr>
            </w:pPr>
            <w:hyperlink w:anchor="tablecontents" w:history="1">
              <w:r w:rsidR="001F6675" w:rsidRPr="00003C88">
                <w:rPr>
                  <w:rFonts w:eastAsia="Calibri" w:cs="Times New Roman"/>
                  <w:b/>
                </w:rPr>
                <w:t>Medicine Lake: Excess Nutrients</w:t>
              </w:r>
            </w:hyperlink>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CF2398">
            <w:r>
              <w:t>Medicine Lake</w:t>
            </w:r>
          </w:p>
        </w:tc>
        <w:tc>
          <w:tcPr>
            <w:tcW w:w="990" w:type="dxa"/>
          </w:tcPr>
          <w:p w:rsidR="001F6675" w:rsidRDefault="00CF2398">
            <w:r>
              <w:t>n/a</w:t>
            </w:r>
          </w:p>
        </w:tc>
        <w:tc>
          <w:tcPr>
            <w:tcW w:w="2988" w:type="dxa"/>
          </w:tcPr>
          <w:p w:rsidR="001F6675" w:rsidRDefault="001F6675"/>
        </w:tc>
        <w:tc>
          <w:tcPr>
            <w:tcW w:w="5683" w:type="dxa"/>
          </w:tcPr>
          <w:p w:rsidR="001F6675" w:rsidRDefault="00CF2398">
            <w:r w:rsidRPr="00CF2398">
              <w:t>The TMDL report indicates required reductions are from watershed conditions in 2007.</w:t>
            </w:r>
          </w:p>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Minnehaha Creek Watershed Lakes: Excess Nutrients (Metro)</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F91895">
            <w:r>
              <w:t>All</w:t>
            </w:r>
          </w:p>
        </w:tc>
        <w:tc>
          <w:tcPr>
            <w:tcW w:w="990" w:type="dxa"/>
          </w:tcPr>
          <w:p w:rsidR="001F6675" w:rsidRDefault="00F91895">
            <w:r>
              <w:t>n/a</w:t>
            </w:r>
          </w:p>
        </w:tc>
        <w:tc>
          <w:tcPr>
            <w:tcW w:w="2988" w:type="dxa"/>
          </w:tcPr>
          <w:p w:rsidR="001F6675" w:rsidRDefault="00F91895">
            <w:r w:rsidRPr="00F91895">
              <w:t>Monitoring data from 1998-2007.</w:t>
            </w:r>
          </w:p>
        </w:tc>
        <w:tc>
          <w:tcPr>
            <w:tcW w:w="5683" w:type="dxa"/>
          </w:tcPr>
          <w:p w:rsidR="001F6675" w:rsidRDefault="001F6675"/>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Lake Sarah: Excess Nutrients (Metro)</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F91895">
            <w:r>
              <w:t>Lake Sarah</w:t>
            </w:r>
          </w:p>
        </w:tc>
        <w:tc>
          <w:tcPr>
            <w:tcW w:w="990" w:type="dxa"/>
          </w:tcPr>
          <w:p w:rsidR="001F6675" w:rsidRDefault="00F91895">
            <w:r>
              <w:t>n/a</w:t>
            </w:r>
          </w:p>
        </w:tc>
        <w:tc>
          <w:tcPr>
            <w:tcW w:w="2988" w:type="dxa"/>
          </w:tcPr>
          <w:p w:rsidR="001F6675" w:rsidRDefault="001F6675"/>
        </w:tc>
        <w:tc>
          <w:tcPr>
            <w:tcW w:w="5683" w:type="dxa"/>
          </w:tcPr>
          <w:p w:rsidR="001F6675" w:rsidRDefault="00F91895">
            <w:r w:rsidRPr="00F91895">
              <w:t>Modeling for Lake Sarah was initially based on in-lake data from a ten year period (1999-2008) that corresponds with the 10-year average precipitation data used to generate watershed phosphorus loads.</w:t>
            </w:r>
          </w:p>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Sweeney Lake: Phosphorus</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105639">
            <w:r w:rsidRPr="00105639">
              <w:t>Sweeney Lake</w:t>
            </w:r>
          </w:p>
        </w:tc>
        <w:tc>
          <w:tcPr>
            <w:tcW w:w="990" w:type="dxa"/>
          </w:tcPr>
          <w:p w:rsidR="001F6675" w:rsidRDefault="00105639">
            <w:r>
              <w:t>n/a</w:t>
            </w:r>
          </w:p>
        </w:tc>
        <w:tc>
          <w:tcPr>
            <w:tcW w:w="2988" w:type="dxa"/>
          </w:tcPr>
          <w:p w:rsidR="001F6675" w:rsidRDefault="001F6675"/>
        </w:tc>
        <w:tc>
          <w:tcPr>
            <w:tcW w:w="5683" w:type="dxa"/>
          </w:tcPr>
          <w:p w:rsidR="001F6675" w:rsidRDefault="0004441A">
            <w:r>
              <w:t>Monitoring data from 2004-2005 and 2007-2008 was used.</w:t>
            </w:r>
          </w:p>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Spring Lake-Upper Prior Lake: Excess Nutrients (Metro)</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105639">
            <w:r w:rsidRPr="00105639">
              <w:t>Spring Lake-Upper Prior Lake</w:t>
            </w:r>
          </w:p>
        </w:tc>
        <w:tc>
          <w:tcPr>
            <w:tcW w:w="990" w:type="dxa"/>
          </w:tcPr>
          <w:p w:rsidR="001F6675" w:rsidRDefault="00105639">
            <w:r>
              <w:t>n/a</w:t>
            </w:r>
          </w:p>
        </w:tc>
        <w:tc>
          <w:tcPr>
            <w:tcW w:w="2988" w:type="dxa"/>
          </w:tcPr>
          <w:p w:rsidR="001F6675" w:rsidRDefault="001F6675"/>
        </w:tc>
        <w:tc>
          <w:tcPr>
            <w:tcW w:w="5683" w:type="dxa"/>
          </w:tcPr>
          <w:p w:rsidR="001F6675" w:rsidRDefault="00A534BC">
            <w:r w:rsidRPr="00A534BC">
              <w:t>Given that the lake model in this study was calibrat</w:t>
            </w:r>
            <w:r>
              <w:t>ed to monitoring data which ref</w:t>
            </w:r>
            <w:r w:rsidRPr="00A534BC">
              <w:t>lect land use and BMPs in place during the monitored period from 1998-2006, 2006 will be used as the baseline year/ condition from which to gauge phosphorus reductions for determin</w:t>
            </w:r>
            <w:r>
              <w:t>in</w:t>
            </w:r>
            <w:r w:rsidRPr="00A534BC">
              <w:t xml:space="preserve">g progress toward the TMDL. </w:t>
            </w:r>
            <w:r>
              <w:t>(</w:t>
            </w:r>
            <w:r w:rsidRPr="00A534BC">
              <w:t>pg. 7-1</w:t>
            </w:r>
            <w:r>
              <w:t>)</w:t>
            </w:r>
          </w:p>
        </w:tc>
      </w:tr>
      <w:tr w:rsidR="001F6675" w:rsidTr="009469F8">
        <w:trPr>
          <w:trHeight w:val="800"/>
        </w:trPr>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proofErr w:type="spellStart"/>
            <w:r w:rsidRPr="00003C88">
              <w:rPr>
                <w:rFonts w:eastAsia="Calibri" w:cs="Times New Roman"/>
                <w:b/>
              </w:rPr>
              <w:t>Pomme</w:t>
            </w:r>
            <w:proofErr w:type="spellEnd"/>
            <w:r w:rsidRPr="00003C88">
              <w:rPr>
                <w:rFonts w:eastAsia="Calibri" w:cs="Times New Roman"/>
                <w:b/>
              </w:rPr>
              <w:t xml:space="preserve"> de T</w:t>
            </w:r>
            <w:r w:rsidR="00614EDF">
              <w:rPr>
                <w:rFonts w:eastAsia="Calibri" w:cs="Times New Roman"/>
                <w:b/>
              </w:rPr>
              <w:t>erre River Watershed: Turbidity</w:t>
            </w:r>
          </w:p>
        </w:tc>
        <w:tc>
          <w:tcPr>
            <w:tcW w:w="1817" w:type="dxa"/>
          </w:tcPr>
          <w:p w:rsidR="001F6675" w:rsidRDefault="00D26689">
            <w:r>
              <w:t>07020003-501</w:t>
            </w:r>
          </w:p>
        </w:tc>
        <w:tc>
          <w:tcPr>
            <w:tcW w:w="990" w:type="dxa"/>
          </w:tcPr>
          <w:p w:rsidR="001F6675" w:rsidRDefault="00D26689">
            <w:r>
              <w:t>n/a</w:t>
            </w:r>
          </w:p>
        </w:tc>
        <w:tc>
          <w:tcPr>
            <w:tcW w:w="2988" w:type="dxa"/>
          </w:tcPr>
          <w:p w:rsidR="001F6675" w:rsidRDefault="00536FAC">
            <w:r>
              <w:t>1997-2007</w:t>
            </w:r>
          </w:p>
        </w:tc>
        <w:tc>
          <w:tcPr>
            <w:tcW w:w="5683" w:type="dxa"/>
          </w:tcPr>
          <w:p w:rsidR="001F6675" w:rsidRDefault="001F6675"/>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 xml:space="preserve">Crystal, Keller, Lee, and </w:t>
            </w:r>
            <w:proofErr w:type="spellStart"/>
            <w:r w:rsidRPr="00003C88">
              <w:rPr>
                <w:rFonts w:eastAsia="Calibri" w:cs="Times New Roman"/>
                <w:b/>
              </w:rPr>
              <w:t>Earley</w:t>
            </w:r>
            <w:proofErr w:type="spellEnd"/>
            <w:r w:rsidRPr="00003C88">
              <w:rPr>
                <w:rFonts w:eastAsia="Calibri" w:cs="Times New Roman"/>
                <w:b/>
              </w:rPr>
              <w:t xml:space="preserve"> Lakes: Excess Nutrients</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614EDF">
            <w:r>
              <w:t>Crystal, Keller, and Lee Lakes</w:t>
            </w:r>
          </w:p>
        </w:tc>
        <w:tc>
          <w:tcPr>
            <w:tcW w:w="990" w:type="dxa"/>
          </w:tcPr>
          <w:p w:rsidR="001F6675" w:rsidRDefault="00614EDF">
            <w:r>
              <w:t>n/a</w:t>
            </w:r>
          </w:p>
        </w:tc>
        <w:tc>
          <w:tcPr>
            <w:tcW w:w="2988" w:type="dxa"/>
          </w:tcPr>
          <w:p w:rsidR="001F6675" w:rsidRDefault="001F6675"/>
        </w:tc>
        <w:tc>
          <w:tcPr>
            <w:tcW w:w="5683" w:type="dxa"/>
          </w:tcPr>
          <w:p w:rsidR="00F956D5" w:rsidRDefault="00F956D5" w:rsidP="00F956D5">
            <w:r w:rsidRPr="00F956D5">
              <w:t xml:space="preserve">Of the three precipitation scenarios evaluated </w:t>
            </w:r>
            <w:r>
              <w:t xml:space="preserve">in this study, </w:t>
            </w:r>
            <w:r w:rsidRPr="00F956D5">
              <w:t xml:space="preserve">the critical year (the one resulting in the worst water quality) for Crystal, Keller, </w:t>
            </w:r>
            <w:r>
              <w:t xml:space="preserve">and Lee Lakes was the "average" </w:t>
            </w:r>
            <w:r w:rsidRPr="00F956D5">
              <w:t>precipitation scenario (the growing season of 2006).</w:t>
            </w:r>
          </w:p>
          <w:p w:rsidR="00F956D5" w:rsidRPr="00F956D5" w:rsidRDefault="00F956D5" w:rsidP="00F956D5">
            <w:r w:rsidRPr="00F956D5">
              <w:t xml:space="preserve">Also, because it is a year of average precipitation, it serves as a fair baseline to set </w:t>
            </w:r>
            <w:proofErr w:type="spellStart"/>
            <w:r w:rsidRPr="00F956D5">
              <w:t>wasteload</w:t>
            </w:r>
            <w:proofErr w:type="spellEnd"/>
            <w:r w:rsidRPr="00F956D5">
              <w:t xml:space="preserve"> allocations for municipalities. It is </w:t>
            </w:r>
            <w:bookmarkStart w:id="11" w:name="83"/>
            <w:bookmarkEnd w:id="11"/>
            <w:r w:rsidRPr="00F956D5">
              <w:t xml:space="preserve">reasonable to expect that, on average, the MS4s in the watersheds will have existing watershed TP loads on the order of those modeled during the 2006 water year. </w:t>
            </w:r>
          </w:p>
          <w:p w:rsidR="00F956D5" w:rsidRPr="00F956D5" w:rsidRDefault="00F956D5" w:rsidP="00F956D5"/>
          <w:p w:rsidR="001F6675" w:rsidRDefault="001F6675"/>
        </w:tc>
      </w:tr>
      <w:tr w:rsidR="001F6675" w:rsidTr="009469F8">
        <w:tc>
          <w:tcPr>
            <w:tcW w:w="3138" w:type="dxa"/>
            <w:shd w:val="clear" w:color="auto" w:fill="C6D9F1" w:themeFill="text2" w:themeFillTint="33"/>
          </w:tcPr>
          <w:p w:rsidR="001F6675" w:rsidRPr="00003C88" w:rsidRDefault="001F6675" w:rsidP="00981D93">
            <w:pPr>
              <w:rPr>
                <w:rFonts w:eastAsia="Calibri" w:cs="Times New Roman"/>
                <w:b/>
              </w:rPr>
            </w:pPr>
            <w:r w:rsidRPr="00003C88">
              <w:rPr>
                <w:rFonts w:eastAsia="Calibri" w:cs="Times New Roman"/>
                <w:b/>
              </w:rPr>
              <w:t>Shingle and Bass Creeks: Impaired Biota &amp; Dissolved Oxygen (Metro)</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1F6675"/>
        </w:tc>
        <w:tc>
          <w:tcPr>
            <w:tcW w:w="990" w:type="dxa"/>
          </w:tcPr>
          <w:p w:rsidR="001F6675" w:rsidRDefault="00DE04D5">
            <w:r>
              <w:t>n/a</w:t>
            </w:r>
          </w:p>
        </w:tc>
        <w:tc>
          <w:tcPr>
            <w:tcW w:w="2988" w:type="dxa"/>
          </w:tcPr>
          <w:p w:rsidR="001F6675" w:rsidRDefault="001F6675"/>
        </w:tc>
        <w:tc>
          <w:tcPr>
            <w:tcW w:w="5683" w:type="dxa"/>
          </w:tcPr>
          <w:p w:rsidR="001F6675" w:rsidRDefault="00DE04D5" w:rsidP="00DE04D5">
            <w:r>
              <w:t>T</w:t>
            </w:r>
            <w:r>
              <w:t>he Lower and Upper Shingle Creek models we</w:t>
            </w:r>
            <w:r>
              <w:t>re built using</w:t>
            </w:r>
            <w:r>
              <w:t xml:space="preserve"> both summer high-flow and fall </w:t>
            </w:r>
            <w:r>
              <w:t>low-flow</w:t>
            </w:r>
            <w:r>
              <w:t xml:space="preserve"> synoptic survey data collected </w:t>
            </w:r>
            <w:r>
              <w:t>on June 9, 2008 and September 17, 2008, respectively.</w:t>
            </w:r>
          </w:p>
        </w:tc>
      </w:tr>
      <w:tr w:rsidR="001F6675" w:rsidTr="009469F8">
        <w:tc>
          <w:tcPr>
            <w:tcW w:w="3138" w:type="dxa"/>
            <w:shd w:val="clear" w:color="auto" w:fill="C6D9F1" w:themeFill="text2" w:themeFillTint="33"/>
          </w:tcPr>
          <w:p w:rsidR="001F6675" w:rsidRPr="00003C88" w:rsidRDefault="001F6675" w:rsidP="00003C88">
            <w:pPr>
              <w:spacing w:after="200" w:line="276" w:lineRule="auto"/>
              <w:contextualSpacing/>
              <w:rPr>
                <w:rFonts w:eastAsia="Calibri" w:cs="Times New Roman"/>
                <w:b/>
              </w:rPr>
            </w:pPr>
            <w:r w:rsidRPr="00003C88">
              <w:rPr>
                <w:rFonts w:eastAsia="Calibri" w:cs="Times New Roman"/>
                <w:b/>
              </w:rPr>
              <w:t>Little Rock Lake: Excess Nutrients</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F91895">
            <w:r w:rsidRPr="00F91895">
              <w:t>Little Rock Lake</w:t>
            </w:r>
          </w:p>
        </w:tc>
        <w:tc>
          <w:tcPr>
            <w:tcW w:w="990" w:type="dxa"/>
          </w:tcPr>
          <w:p w:rsidR="001F6675" w:rsidRDefault="00F91895">
            <w:r>
              <w:t>n/a</w:t>
            </w:r>
          </w:p>
        </w:tc>
        <w:tc>
          <w:tcPr>
            <w:tcW w:w="2988" w:type="dxa"/>
          </w:tcPr>
          <w:p w:rsidR="001F6675" w:rsidRDefault="001F6675"/>
        </w:tc>
        <w:tc>
          <w:tcPr>
            <w:tcW w:w="5683" w:type="dxa"/>
          </w:tcPr>
          <w:p w:rsidR="001F6675" w:rsidRDefault="00A534BC">
            <w:r w:rsidRPr="00A534BC">
              <w:t>Watershed and lake water quality data collected Benton County Soil and Water District in 2006-2008 to support development of TMDLs for the lake and tributaries.</w:t>
            </w:r>
            <w:r>
              <w:t xml:space="preserve"> (pg. 24)</w:t>
            </w:r>
          </w:p>
        </w:tc>
      </w:tr>
      <w:tr w:rsidR="00CE1ED4" w:rsidTr="009469F8">
        <w:trPr>
          <w:trHeight w:val="66"/>
        </w:trPr>
        <w:tc>
          <w:tcPr>
            <w:tcW w:w="3138" w:type="dxa"/>
            <w:vMerge w:val="restart"/>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roofErr w:type="spellStart"/>
            <w:r w:rsidRPr="00003C88">
              <w:rPr>
                <w:rFonts w:eastAsia="Calibri" w:cs="Times New Roman"/>
                <w:b/>
              </w:rPr>
              <w:t>Zumbro</w:t>
            </w:r>
            <w:proofErr w:type="spellEnd"/>
            <w:r w:rsidRPr="00003C88">
              <w:rPr>
                <w:rFonts w:eastAsia="Calibri" w:cs="Times New Roman"/>
                <w:b/>
              </w:rPr>
              <w:t xml:space="preserve"> River Watershed: Turbidity</w:t>
            </w:r>
          </w:p>
          <w:p w:rsidR="00CE1ED4" w:rsidRPr="00003C88" w:rsidRDefault="00CE1ED4" w:rsidP="00981D93">
            <w:pPr>
              <w:spacing w:after="200" w:line="276" w:lineRule="auto"/>
              <w:contextualSpacing/>
              <w:rPr>
                <w:rFonts w:eastAsia="Calibri" w:cs="Times New Roman"/>
                <w:b/>
              </w:rPr>
            </w:pPr>
          </w:p>
        </w:tc>
        <w:tc>
          <w:tcPr>
            <w:tcW w:w="1817" w:type="dxa"/>
          </w:tcPr>
          <w:p w:rsidR="00CE1ED4" w:rsidRDefault="00CE1ED4">
            <w:r>
              <w:t>07040004-552</w:t>
            </w:r>
          </w:p>
        </w:tc>
        <w:tc>
          <w:tcPr>
            <w:tcW w:w="990" w:type="dxa"/>
          </w:tcPr>
          <w:p w:rsidR="00CE1ED4" w:rsidRDefault="00CE1ED4">
            <w:r>
              <w:t>n/a</w:t>
            </w:r>
          </w:p>
        </w:tc>
        <w:tc>
          <w:tcPr>
            <w:tcW w:w="2988" w:type="dxa"/>
          </w:tcPr>
          <w:p w:rsidR="00CE1ED4" w:rsidRDefault="00CE1ED4">
            <w:r>
              <w:t>2007-2008</w:t>
            </w:r>
          </w:p>
        </w:tc>
        <w:tc>
          <w:tcPr>
            <w:tcW w:w="5683" w:type="dxa"/>
            <w:vMerge w:val="restart"/>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553</w:t>
            </w:r>
          </w:p>
        </w:tc>
        <w:tc>
          <w:tcPr>
            <w:tcW w:w="990" w:type="dxa"/>
          </w:tcPr>
          <w:p w:rsidR="00CE1ED4" w:rsidRDefault="00CE1ED4">
            <w:r w:rsidRPr="00422253">
              <w:t>n/a</w:t>
            </w:r>
          </w:p>
        </w:tc>
        <w:tc>
          <w:tcPr>
            <w:tcW w:w="2988" w:type="dxa"/>
          </w:tcPr>
          <w:p w:rsidR="00CE1ED4" w:rsidRDefault="00CE1ED4">
            <w:r>
              <w:t>2000-2005</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556</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539</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540</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538</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536</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639</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581</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601</w:t>
            </w:r>
          </w:p>
        </w:tc>
        <w:tc>
          <w:tcPr>
            <w:tcW w:w="990" w:type="dxa"/>
          </w:tcPr>
          <w:p w:rsidR="00CE1ED4" w:rsidRDefault="00CE1ED4">
            <w:r w:rsidRPr="00422253">
              <w:t>n/a</w:t>
            </w:r>
          </w:p>
        </w:tc>
        <w:tc>
          <w:tcPr>
            <w:tcW w:w="2988" w:type="dxa"/>
          </w:tcPr>
          <w:p w:rsidR="00CE1ED4" w:rsidRDefault="00CE1ED4">
            <w:r>
              <w:t>2004-2005</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507</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592</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526</w:t>
            </w:r>
          </w:p>
        </w:tc>
        <w:tc>
          <w:tcPr>
            <w:tcW w:w="990" w:type="dxa"/>
          </w:tcPr>
          <w:p w:rsidR="00CE1ED4" w:rsidRDefault="00CE1ED4">
            <w:r w:rsidRPr="00422253">
              <w:t>n/a</w:t>
            </w:r>
          </w:p>
        </w:tc>
        <w:tc>
          <w:tcPr>
            <w:tcW w:w="2988" w:type="dxa"/>
          </w:tcPr>
          <w:p w:rsidR="00CE1ED4" w:rsidRDefault="00CE1ED4">
            <w:r>
              <w:t>2007</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525</w:t>
            </w:r>
          </w:p>
        </w:tc>
        <w:tc>
          <w:tcPr>
            <w:tcW w:w="990" w:type="dxa"/>
          </w:tcPr>
          <w:p w:rsidR="00CE1ED4" w:rsidRDefault="00CE1ED4">
            <w:r w:rsidRPr="00422253">
              <w:t>n/a</w:t>
            </w:r>
          </w:p>
        </w:tc>
        <w:tc>
          <w:tcPr>
            <w:tcW w:w="2988" w:type="dxa"/>
          </w:tcPr>
          <w:p w:rsidR="00CE1ED4" w:rsidRDefault="00CE1ED4">
            <w:r>
              <w:t>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554</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522</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CE1ED4" w:rsidTr="009469F8">
        <w:trPr>
          <w:trHeight w:val="54"/>
        </w:trPr>
        <w:tc>
          <w:tcPr>
            <w:tcW w:w="3138" w:type="dxa"/>
            <w:vMerge/>
            <w:shd w:val="clear" w:color="auto" w:fill="C6D9F1" w:themeFill="text2" w:themeFillTint="33"/>
          </w:tcPr>
          <w:p w:rsidR="00CE1ED4" w:rsidRPr="00003C88" w:rsidRDefault="00CE1ED4" w:rsidP="00003C88">
            <w:pPr>
              <w:spacing w:after="200" w:line="276" w:lineRule="auto"/>
              <w:contextualSpacing/>
              <w:rPr>
                <w:rFonts w:eastAsia="Calibri" w:cs="Times New Roman"/>
                <w:b/>
              </w:rPr>
            </w:pPr>
          </w:p>
        </w:tc>
        <w:tc>
          <w:tcPr>
            <w:tcW w:w="1817" w:type="dxa"/>
          </w:tcPr>
          <w:p w:rsidR="00CE1ED4" w:rsidRDefault="00CE1ED4">
            <w:r w:rsidRPr="002D2D0E">
              <w:t>07040004-</w:t>
            </w:r>
            <w:r>
              <w:t>501</w:t>
            </w:r>
          </w:p>
        </w:tc>
        <w:tc>
          <w:tcPr>
            <w:tcW w:w="990" w:type="dxa"/>
          </w:tcPr>
          <w:p w:rsidR="00CE1ED4" w:rsidRDefault="00CE1ED4">
            <w:r w:rsidRPr="00422253">
              <w:t>n/a</w:t>
            </w:r>
          </w:p>
        </w:tc>
        <w:tc>
          <w:tcPr>
            <w:tcW w:w="2988" w:type="dxa"/>
          </w:tcPr>
          <w:p w:rsidR="00CE1ED4" w:rsidRDefault="00CE1ED4">
            <w:r>
              <w:t>2007-2008</w:t>
            </w:r>
          </w:p>
        </w:tc>
        <w:tc>
          <w:tcPr>
            <w:tcW w:w="5683" w:type="dxa"/>
            <w:vMerge/>
          </w:tcPr>
          <w:p w:rsidR="00CE1ED4" w:rsidRDefault="00CE1ED4"/>
        </w:tc>
      </w:tr>
      <w:tr w:rsidR="001F6675" w:rsidTr="009469F8">
        <w:tc>
          <w:tcPr>
            <w:tcW w:w="3138" w:type="dxa"/>
            <w:shd w:val="clear" w:color="auto" w:fill="C6D9F1" w:themeFill="text2" w:themeFillTint="33"/>
          </w:tcPr>
          <w:p w:rsidR="001F6675" w:rsidRPr="00003C88" w:rsidRDefault="001F6675" w:rsidP="00981D93">
            <w:pPr>
              <w:spacing w:after="200" w:line="276" w:lineRule="auto"/>
              <w:contextualSpacing/>
              <w:rPr>
                <w:rFonts w:eastAsia="Calibri" w:cs="Times New Roman"/>
                <w:b/>
              </w:rPr>
            </w:pPr>
            <w:r w:rsidRPr="00003C88">
              <w:rPr>
                <w:rFonts w:eastAsia="Calibri" w:cs="Times New Roman"/>
                <w:b/>
              </w:rPr>
              <w:t>Bald Eagle Lake: Excess Nutrients (Metro)</w:t>
            </w:r>
          </w:p>
        </w:tc>
        <w:tc>
          <w:tcPr>
            <w:tcW w:w="1817" w:type="dxa"/>
          </w:tcPr>
          <w:p w:rsidR="001F6675" w:rsidRDefault="00F91895">
            <w:r w:rsidRPr="00F91895">
              <w:t>Bald Eagle Lake</w:t>
            </w:r>
          </w:p>
        </w:tc>
        <w:tc>
          <w:tcPr>
            <w:tcW w:w="990" w:type="dxa"/>
          </w:tcPr>
          <w:p w:rsidR="001F6675" w:rsidRDefault="00F91895">
            <w:r>
              <w:t>n/a</w:t>
            </w:r>
          </w:p>
        </w:tc>
        <w:tc>
          <w:tcPr>
            <w:tcW w:w="2988" w:type="dxa"/>
          </w:tcPr>
          <w:p w:rsidR="001F6675" w:rsidRDefault="00F91895">
            <w:r>
              <w:t>1998-2008</w:t>
            </w:r>
          </w:p>
        </w:tc>
        <w:tc>
          <w:tcPr>
            <w:tcW w:w="5683" w:type="dxa"/>
          </w:tcPr>
          <w:p w:rsidR="001F6675" w:rsidRDefault="001F6675"/>
        </w:tc>
      </w:tr>
      <w:tr w:rsidR="00D72A85" w:rsidTr="009469F8">
        <w:trPr>
          <w:trHeight w:val="234"/>
        </w:trPr>
        <w:tc>
          <w:tcPr>
            <w:tcW w:w="3138" w:type="dxa"/>
            <w:vMerge w:val="restart"/>
            <w:shd w:val="clear" w:color="auto" w:fill="C6D9F1" w:themeFill="text2" w:themeFillTint="33"/>
          </w:tcPr>
          <w:p w:rsidR="00D72A85" w:rsidRPr="00003C88" w:rsidRDefault="00D72A85" w:rsidP="00003C88">
            <w:pPr>
              <w:spacing w:after="200" w:line="276" w:lineRule="auto"/>
              <w:contextualSpacing/>
              <w:rPr>
                <w:rFonts w:eastAsia="Calibri" w:cs="Times New Roman"/>
                <w:b/>
              </w:rPr>
            </w:pPr>
            <w:r w:rsidRPr="00003C88">
              <w:rPr>
                <w:rFonts w:eastAsia="Calibri" w:cs="Times New Roman"/>
                <w:b/>
              </w:rPr>
              <w:t>Elk River Watershed: Multiple Impairments</w:t>
            </w:r>
          </w:p>
          <w:p w:rsidR="00D72A85" w:rsidRPr="00003C88" w:rsidRDefault="00D72A85" w:rsidP="00981D93">
            <w:pPr>
              <w:spacing w:after="200" w:line="276" w:lineRule="auto"/>
              <w:contextualSpacing/>
              <w:rPr>
                <w:rFonts w:eastAsia="Calibri" w:cs="Times New Roman"/>
                <w:b/>
              </w:rPr>
            </w:pPr>
          </w:p>
        </w:tc>
        <w:tc>
          <w:tcPr>
            <w:tcW w:w="1817" w:type="dxa"/>
          </w:tcPr>
          <w:p w:rsidR="00D72A85" w:rsidRDefault="00D72A85">
            <w:r>
              <w:t>Big Elk Lake</w:t>
            </w:r>
          </w:p>
        </w:tc>
        <w:tc>
          <w:tcPr>
            <w:tcW w:w="990" w:type="dxa"/>
          </w:tcPr>
          <w:p w:rsidR="00D72A85" w:rsidRDefault="00D72A85">
            <w:r>
              <w:t>n/a</w:t>
            </w:r>
          </w:p>
        </w:tc>
        <w:tc>
          <w:tcPr>
            <w:tcW w:w="2988" w:type="dxa"/>
          </w:tcPr>
          <w:p w:rsidR="00D72A85" w:rsidRDefault="00D72A85"/>
        </w:tc>
        <w:tc>
          <w:tcPr>
            <w:tcW w:w="5683" w:type="dxa"/>
          </w:tcPr>
          <w:p w:rsidR="0008508B" w:rsidRPr="0008508B" w:rsidRDefault="0008508B" w:rsidP="0008508B">
            <w:r w:rsidRPr="0008508B">
              <w:t>Water quality data was ava</w:t>
            </w:r>
            <w:r>
              <w:t xml:space="preserve">ilable for 2003, 2006, 2007 and </w:t>
            </w:r>
            <w:r w:rsidRPr="0008508B">
              <w:t xml:space="preserve">2009. However, 2003 data was not </w:t>
            </w:r>
            <w:r>
              <w:t xml:space="preserve">used for the model </w:t>
            </w:r>
            <w:r w:rsidRPr="0008508B">
              <w:t>calibration because on</w:t>
            </w:r>
            <w:r>
              <w:t xml:space="preserve">ly three samples were collected </w:t>
            </w:r>
            <w:r w:rsidRPr="0008508B">
              <w:t xml:space="preserve">during late summer. </w:t>
            </w:r>
          </w:p>
          <w:p w:rsidR="00D72A85" w:rsidRDefault="00D72A85"/>
        </w:tc>
      </w:tr>
      <w:tr w:rsidR="00D72A85" w:rsidTr="009469F8">
        <w:trPr>
          <w:trHeight w:val="232"/>
        </w:trPr>
        <w:tc>
          <w:tcPr>
            <w:tcW w:w="3138" w:type="dxa"/>
            <w:vMerge/>
            <w:shd w:val="clear" w:color="auto" w:fill="C6D9F1" w:themeFill="text2" w:themeFillTint="33"/>
          </w:tcPr>
          <w:p w:rsidR="00D72A85" w:rsidRPr="00003C88" w:rsidRDefault="00D72A85" w:rsidP="00003C88">
            <w:pPr>
              <w:spacing w:after="200" w:line="276" w:lineRule="auto"/>
              <w:contextualSpacing/>
              <w:rPr>
                <w:rFonts w:eastAsia="Calibri" w:cs="Times New Roman"/>
                <w:b/>
              </w:rPr>
            </w:pPr>
          </w:p>
        </w:tc>
        <w:tc>
          <w:tcPr>
            <w:tcW w:w="1817" w:type="dxa"/>
          </w:tcPr>
          <w:p w:rsidR="00D72A85" w:rsidRDefault="0008508B">
            <w:r>
              <w:t>Mayhew Lake</w:t>
            </w:r>
          </w:p>
        </w:tc>
        <w:tc>
          <w:tcPr>
            <w:tcW w:w="990" w:type="dxa"/>
          </w:tcPr>
          <w:p w:rsidR="00D72A85" w:rsidRDefault="0008508B">
            <w:r>
              <w:t>n/a</w:t>
            </w:r>
          </w:p>
        </w:tc>
        <w:tc>
          <w:tcPr>
            <w:tcW w:w="2988" w:type="dxa"/>
          </w:tcPr>
          <w:p w:rsidR="00D72A85" w:rsidRDefault="00D72A85"/>
        </w:tc>
        <w:tc>
          <w:tcPr>
            <w:tcW w:w="5683" w:type="dxa"/>
          </w:tcPr>
          <w:p w:rsidR="0008508B" w:rsidRPr="0008508B" w:rsidRDefault="0008508B" w:rsidP="0008508B">
            <w:r w:rsidRPr="0008508B">
              <w:t>Water quality data was available for 2003</w:t>
            </w:r>
            <w:r>
              <w:t xml:space="preserve"> </w:t>
            </w:r>
            <w:r w:rsidRPr="0008508B">
              <w:t>-2006 and 2009. Each year was modeled utilizing the methods described in the previous section.</w:t>
            </w:r>
          </w:p>
          <w:p w:rsidR="00D72A85" w:rsidRDefault="00D72A85"/>
        </w:tc>
      </w:tr>
      <w:tr w:rsidR="00D72A85" w:rsidTr="009469F8">
        <w:trPr>
          <w:trHeight w:val="232"/>
        </w:trPr>
        <w:tc>
          <w:tcPr>
            <w:tcW w:w="3138" w:type="dxa"/>
            <w:vMerge/>
            <w:shd w:val="clear" w:color="auto" w:fill="C6D9F1" w:themeFill="text2" w:themeFillTint="33"/>
          </w:tcPr>
          <w:p w:rsidR="00D72A85" w:rsidRPr="00003C88" w:rsidRDefault="00D72A85" w:rsidP="00003C88">
            <w:pPr>
              <w:spacing w:after="200" w:line="276" w:lineRule="auto"/>
              <w:contextualSpacing/>
              <w:rPr>
                <w:rFonts w:eastAsia="Calibri" w:cs="Times New Roman"/>
                <w:b/>
              </w:rPr>
            </w:pPr>
          </w:p>
        </w:tc>
        <w:tc>
          <w:tcPr>
            <w:tcW w:w="1817" w:type="dxa"/>
          </w:tcPr>
          <w:p w:rsidR="0008508B" w:rsidRDefault="0008508B">
            <w:r>
              <w:fldChar w:fldCharType="begin"/>
            </w:r>
            <w:r>
              <w:instrText xml:space="preserve"> LINK </w:instrText>
            </w:r>
            <w:r w:rsidR="009469F8">
              <w:instrText xml:space="preserve">Excel.Sheet.8 C:\\Users\\jstock\\AppData\\Local\\Temp\\wq-strm4-49d-2.xls "Master List MS4 Permit TMDLs!R173C4" </w:instrText>
            </w:r>
            <w:r>
              <w:instrText xml:space="preserve">\a \f 5 \h </w:instrText>
            </w:r>
            <w:r w:rsidR="009469F8">
              <w:instrText xml:space="preserve"> \* MERGEFORMAT </w:instrText>
            </w:r>
            <w:r>
              <w:fldChar w:fldCharType="separate"/>
            </w:r>
          </w:p>
          <w:p w:rsidR="0008508B" w:rsidRPr="0008508B" w:rsidRDefault="0008508B" w:rsidP="0008508B">
            <w:r w:rsidRPr="0008508B">
              <w:t>07010203-579</w:t>
            </w:r>
          </w:p>
          <w:p w:rsidR="00D72A85" w:rsidRDefault="0008508B" w:rsidP="0008508B">
            <w:r>
              <w:fldChar w:fldCharType="end"/>
            </w:r>
            <w:r>
              <w:t>E. coli</w:t>
            </w:r>
          </w:p>
        </w:tc>
        <w:tc>
          <w:tcPr>
            <w:tcW w:w="990" w:type="dxa"/>
          </w:tcPr>
          <w:p w:rsidR="00D72A85" w:rsidRDefault="0008508B">
            <w:r>
              <w:t>n/a</w:t>
            </w:r>
          </w:p>
        </w:tc>
        <w:tc>
          <w:tcPr>
            <w:tcW w:w="2988" w:type="dxa"/>
          </w:tcPr>
          <w:p w:rsidR="00D72A85" w:rsidRDefault="00D72A85"/>
        </w:tc>
        <w:tc>
          <w:tcPr>
            <w:tcW w:w="5683" w:type="dxa"/>
          </w:tcPr>
          <w:p w:rsidR="0008508B" w:rsidRPr="0008508B" w:rsidRDefault="0008508B" w:rsidP="0008508B">
            <w:r w:rsidRPr="0008508B">
              <w:t>Flow duration curves were developed from data collected in 2009 at the continuous flow monitoring stations at ER 37.3 and ER 16.6 and compared to a 2009 flow duration curve developed from the USGS station.</w:t>
            </w:r>
          </w:p>
          <w:p w:rsidR="00D72A85" w:rsidRDefault="00D72A85"/>
        </w:tc>
      </w:tr>
      <w:tr w:rsidR="00D72A85" w:rsidTr="009469F8">
        <w:trPr>
          <w:trHeight w:val="232"/>
        </w:trPr>
        <w:tc>
          <w:tcPr>
            <w:tcW w:w="3138" w:type="dxa"/>
            <w:vMerge/>
            <w:shd w:val="clear" w:color="auto" w:fill="C6D9F1" w:themeFill="text2" w:themeFillTint="33"/>
          </w:tcPr>
          <w:p w:rsidR="00D72A85" w:rsidRPr="00003C88" w:rsidRDefault="00D72A85" w:rsidP="00003C88">
            <w:pPr>
              <w:spacing w:after="200" w:line="276" w:lineRule="auto"/>
              <w:contextualSpacing/>
              <w:rPr>
                <w:rFonts w:eastAsia="Calibri" w:cs="Times New Roman"/>
                <w:b/>
              </w:rPr>
            </w:pPr>
          </w:p>
        </w:tc>
        <w:tc>
          <w:tcPr>
            <w:tcW w:w="1817" w:type="dxa"/>
          </w:tcPr>
          <w:p w:rsidR="0008508B" w:rsidRDefault="0008508B">
            <w:r>
              <w:fldChar w:fldCharType="begin"/>
            </w:r>
            <w:r>
              <w:instrText xml:space="preserve"> LINK </w:instrText>
            </w:r>
            <w:r w:rsidR="009469F8">
              <w:instrText xml:space="preserve">Excel.Sheet.8 C:\\Users\\jstock\\AppData\\Local\\Temp\\wq-strm4-49d-2.xls "Master List MS4 Permit TMDLs!R173C4" </w:instrText>
            </w:r>
            <w:r>
              <w:instrText xml:space="preserve">\a \f 5 \h  \* MERGEFORMAT </w:instrText>
            </w:r>
            <w:r>
              <w:fldChar w:fldCharType="separate"/>
            </w:r>
          </w:p>
          <w:p w:rsidR="0008508B" w:rsidRPr="0008508B" w:rsidRDefault="0008508B" w:rsidP="0008508B">
            <w:r w:rsidRPr="0008508B">
              <w:t>07010203-579</w:t>
            </w:r>
          </w:p>
          <w:p w:rsidR="00D72A85" w:rsidRDefault="0008508B" w:rsidP="0008508B">
            <w:r>
              <w:fldChar w:fldCharType="end"/>
            </w:r>
            <w:r>
              <w:t>TSS</w:t>
            </w:r>
          </w:p>
        </w:tc>
        <w:tc>
          <w:tcPr>
            <w:tcW w:w="990" w:type="dxa"/>
          </w:tcPr>
          <w:p w:rsidR="00D72A85" w:rsidRDefault="0008508B">
            <w:r>
              <w:t>n/a</w:t>
            </w:r>
          </w:p>
        </w:tc>
        <w:tc>
          <w:tcPr>
            <w:tcW w:w="2988" w:type="dxa"/>
          </w:tcPr>
          <w:p w:rsidR="00D72A85" w:rsidRDefault="00D72A85"/>
        </w:tc>
        <w:tc>
          <w:tcPr>
            <w:tcW w:w="5683" w:type="dxa"/>
          </w:tcPr>
          <w:p w:rsidR="00D72A85" w:rsidRDefault="0008508B">
            <w:r>
              <w:t xml:space="preserve">Section 5.2.3.1 indicates that data </w:t>
            </w:r>
            <w:r w:rsidR="00A16F63">
              <w:t>from 2009 was used to set calculate the TMDL.</w:t>
            </w:r>
          </w:p>
        </w:tc>
      </w:tr>
      <w:tr w:rsidR="001F6675" w:rsidTr="009469F8">
        <w:tc>
          <w:tcPr>
            <w:tcW w:w="3138" w:type="dxa"/>
            <w:shd w:val="clear" w:color="auto" w:fill="C6D9F1" w:themeFill="text2" w:themeFillTint="33"/>
          </w:tcPr>
          <w:p w:rsidR="001F6675" w:rsidRPr="00003C88" w:rsidRDefault="001F6675" w:rsidP="00003C88">
            <w:pPr>
              <w:spacing w:after="200" w:line="276" w:lineRule="auto"/>
              <w:contextualSpacing/>
              <w:rPr>
                <w:rFonts w:eastAsia="Calibri" w:cs="Times New Roman"/>
                <w:b/>
              </w:rPr>
            </w:pPr>
            <w:r w:rsidRPr="00003C88">
              <w:rPr>
                <w:rFonts w:eastAsia="Calibri" w:cs="Times New Roman"/>
                <w:b/>
              </w:rPr>
              <w:t>Martin and Typo Lakes: Excess Nutrients</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DE04D5">
            <w:r>
              <w:t>Martin and Typo Lake</w:t>
            </w:r>
          </w:p>
        </w:tc>
        <w:tc>
          <w:tcPr>
            <w:tcW w:w="990" w:type="dxa"/>
          </w:tcPr>
          <w:p w:rsidR="001F6675" w:rsidRDefault="00DE04D5">
            <w:r>
              <w:t>2007</w:t>
            </w:r>
          </w:p>
          <w:p w:rsidR="00DE04D5" w:rsidRDefault="00DE04D5"/>
        </w:tc>
        <w:tc>
          <w:tcPr>
            <w:tcW w:w="2988" w:type="dxa"/>
          </w:tcPr>
          <w:p w:rsidR="001F6675" w:rsidRDefault="001F6675"/>
        </w:tc>
        <w:tc>
          <w:tcPr>
            <w:tcW w:w="5683" w:type="dxa"/>
          </w:tcPr>
          <w:p w:rsidR="001F6675" w:rsidRDefault="001F6675"/>
        </w:tc>
      </w:tr>
      <w:tr w:rsidR="001F6675" w:rsidTr="009469F8">
        <w:tc>
          <w:tcPr>
            <w:tcW w:w="3138" w:type="dxa"/>
            <w:shd w:val="clear" w:color="auto" w:fill="C6D9F1" w:themeFill="text2" w:themeFillTint="33"/>
          </w:tcPr>
          <w:p w:rsidR="001F6675" w:rsidRPr="00003C88" w:rsidRDefault="001F6675" w:rsidP="00003C88">
            <w:pPr>
              <w:spacing w:after="200" w:line="276" w:lineRule="auto"/>
              <w:contextualSpacing/>
              <w:rPr>
                <w:rFonts w:eastAsia="Calibri" w:cs="Times New Roman"/>
                <w:b/>
              </w:rPr>
            </w:pPr>
            <w:r w:rsidRPr="00003C88">
              <w:rPr>
                <w:rFonts w:eastAsia="Calibri" w:cs="Times New Roman"/>
                <w:b/>
              </w:rPr>
              <w:t>Lake St. Croix: Excess Nutrients</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534853">
            <w:r>
              <w:t>Lake St. Croix</w:t>
            </w:r>
          </w:p>
        </w:tc>
        <w:tc>
          <w:tcPr>
            <w:tcW w:w="990" w:type="dxa"/>
          </w:tcPr>
          <w:p w:rsidR="001F6675" w:rsidRDefault="00534853">
            <w:r>
              <w:t>n/a</w:t>
            </w:r>
          </w:p>
        </w:tc>
        <w:tc>
          <w:tcPr>
            <w:tcW w:w="2988" w:type="dxa"/>
          </w:tcPr>
          <w:p w:rsidR="001F6675" w:rsidRDefault="001F6675"/>
        </w:tc>
        <w:tc>
          <w:tcPr>
            <w:tcW w:w="5683" w:type="dxa"/>
          </w:tcPr>
          <w:p w:rsidR="001F6675" w:rsidRDefault="00534853">
            <w:r w:rsidRPr="00534853">
              <w:t xml:space="preserve">In this TMDL the decade of the 1990s is considered to be the baseline in general; however, for the WLAs for regulated MS4 </w:t>
            </w:r>
            <w:proofErr w:type="spellStart"/>
            <w:r w:rsidRPr="00534853">
              <w:t>permittees</w:t>
            </w:r>
            <w:proofErr w:type="spellEnd"/>
            <w:r w:rsidRPr="00534853">
              <w:t>, the baseline is specifically taken to be 1992, as 1992 is the year of NLCD land use/land cover data used to develop the MS4 WLAs.</w:t>
            </w:r>
          </w:p>
        </w:tc>
      </w:tr>
      <w:tr w:rsidR="006F106A" w:rsidTr="006F106A">
        <w:trPr>
          <w:trHeight w:val="93"/>
        </w:trPr>
        <w:tc>
          <w:tcPr>
            <w:tcW w:w="3138" w:type="dxa"/>
            <w:vMerge w:val="restart"/>
            <w:shd w:val="clear" w:color="auto" w:fill="C6D9F1" w:themeFill="text2" w:themeFillTint="33"/>
          </w:tcPr>
          <w:p w:rsidR="006F106A" w:rsidRPr="00003C88" w:rsidRDefault="006F106A" w:rsidP="00003C88">
            <w:pPr>
              <w:spacing w:after="200" w:line="276" w:lineRule="auto"/>
              <w:contextualSpacing/>
              <w:rPr>
                <w:rFonts w:eastAsia="Calibri" w:cs="Times New Roman"/>
                <w:b/>
              </w:rPr>
            </w:pPr>
            <w:r w:rsidRPr="00003C88">
              <w:rPr>
                <w:rFonts w:eastAsia="Calibri" w:cs="Times New Roman"/>
                <w:b/>
              </w:rPr>
              <w:t>Carnelian Marine St. Croix 10 Lake TMDL: Excess Nutrients</w:t>
            </w:r>
          </w:p>
          <w:p w:rsidR="006F106A" w:rsidRPr="00003C88" w:rsidRDefault="006F106A" w:rsidP="00981D93">
            <w:pPr>
              <w:spacing w:after="200" w:line="276" w:lineRule="auto"/>
              <w:contextualSpacing/>
              <w:rPr>
                <w:rFonts w:eastAsia="Calibri" w:cs="Times New Roman"/>
                <w:b/>
              </w:rPr>
            </w:pPr>
          </w:p>
        </w:tc>
        <w:tc>
          <w:tcPr>
            <w:tcW w:w="1817" w:type="dxa"/>
          </w:tcPr>
          <w:p w:rsidR="006F106A" w:rsidRDefault="006F106A">
            <w:r>
              <w:t>East Boot</w:t>
            </w:r>
          </w:p>
        </w:tc>
        <w:tc>
          <w:tcPr>
            <w:tcW w:w="990" w:type="dxa"/>
          </w:tcPr>
          <w:p w:rsidR="006F106A" w:rsidRDefault="006F106A">
            <w:r>
              <w:t>2008</w:t>
            </w:r>
          </w:p>
        </w:tc>
        <w:tc>
          <w:tcPr>
            <w:tcW w:w="2988" w:type="dxa"/>
          </w:tcPr>
          <w:p w:rsidR="006F106A" w:rsidRDefault="006F106A"/>
        </w:tc>
        <w:tc>
          <w:tcPr>
            <w:tcW w:w="5683" w:type="dxa"/>
            <w:vMerge w:val="restart"/>
          </w:tcPr>
          <w:p w:rsidR="006F106A" w:rsidRDefault="006F106A"/>
        </w:tc>
      </w:tr>
      <w:tr w:rsidR="006F106A" w:rsidTr="009469F8">
        <w:trPr>
          <w:trHeight w:val="93"/>
        </w:trPr>
        <w:tc>
          <w:tcPr>
            <w:tcW w:w="3138" w:type="dxa"/>
            <w:vMerge/>
            <w:shd w:val="clear" w:color="auto" w:fill="C6D9F1" w:themeFill="text2" w:themeFillTint="33"/>
          </w:tcPr>
          <w:p w:rsidR="006F106A" w:rsidRPr="00003C88" w:rsidRDefault="006F106A" w:rsidP="00003C88">
            <w:pPr>
              <w:spacing w:after="200" w:line="276" w:lineRule="auto"/>
              <w:contextualSpacing/>
              <w:rPr>
                <w:rFonts w:eastAsia="Calibri" w:cs="Times New Roman"/>
                <w:b/>
              </w:rPr>
            </w:pPr>
          </w:p>
        </w:tc>
        <w:tc>
          <w:tcPr>
            <w:tcW w:w="1817" w:type="dxa"/>
          </w:tcPr>
          <w:p w:rsidR="006F106A" w:rsidRDefault="006F106A">
            <w:r>
              <w:t>Fish</w:t>
            </w:r>
          </w:p>
        </w:tc>
        <w:tc>
          <w:tcPr>
            <w:tcW w:w="990" w:type="dxa"/>
          </w:tcPr>
          <w:p w:rsidR="006F106A" w:rsidRDefault="006F106A">
            <w:r w:rsidRPr="005F7636">
              <w:t>2008</w:t>
            </w:r>
          </w:p>
        </w:tc>
        <w:tc>
          <w:tcPr>
            <w:tcW w:w="2988" w:type="dxa"/>
          </w:tcPr>
          <w:p w:rsidR="006F106A" w:rsidRDefault="006F106A"/>
        </w:tc>
        <w:tc>
          <w:tcPr>
            <w:tcW w:w="5683" w:type="dxa"/>
            <w:vMerge/>
          </w:tcPr>
          <w:p w:rsidR="006F106A" w:rsidRDefault="006F106A"/>
        </w:tc>
      </w:tr>
      <w:tr w:rsidR="006F106A" w:rsidTr="009469F8">
        <w:trPr>
          <w:trHeight w:val="93"/>
        </w:trPr>
        <w:tc>
          <w:tcPr>
            <w:tcW w:w="3138" w:type="dxa"/>
            <w:vMerge/>
            <w:shd w:val="clear" w:color="auto" w:fill="C6D9F1" w:themeFill="text2" w:themeFillTint="33"/>
          </w:tcPr>
          <w:p w:rsidR="006F106A" w:rsidRPr="00003C88" w:rsidRDefault="006F106A" w:rsidP="00003C88">
            <w:pPr>
              <w:spacing w:after="200" w:line="276" w:lineRule="auto"/>
              <w:contextualSpacing/>
              <w:rPr>
                <w:rFonts w:eastAsia="Calibri" w:cs="Times New Roman"/>
                <w:b/>
              </w:rPr>
            </w:pPr>
          </w:p>
        </w:tc>
        <w:tc>
          <w:tcPr>
            <w:tcW w:w="1817" w:type="dxa"/>
          </w:tcPr>
          <w:p w:rsidR="006F106A" w:rsidRDefault="006F106A">
            <w:r>
              <w:t>Goose</w:t>
            </w:r>
          </w:p>
        </w:tc>
        <w:tc>
          <w:tcPr>
            <w:tcW w:w="990" w:type="dxa"/>
          </w:tcPr>
          <w:p w:rsidR="006F106A" w:rsidRDefault="006F106A">
            <w:r w:rsidRPr="005F7636">
              <w:t>2008</w:t>
            </w:r>
          </w:p>
        </w:tc>
        <w:tc>
          <w:tcPr>
            <w:tcW w:w="2988" w:type="dxa"/>
          </w:tcPr>
          <w:p w:rsidR="006F106A" w:rsidRDefault="006F106A"/>
        </w:tc>
        <w:tc>
          <w:tcPr>
            <w:tcW w:w="5683" w:type="dxa"/>
            <w:vMerge/>
          </w:tcPr>
          <w:p w:rsidR="006F106A" w:rsidRDefault="006F106A"/>
        </w:tc>
      </w:tr>
      <w:tr w:rsidR="006F106A" w:rsidTr="009469F8">
        <w:trPr>
          <w:trHeight w:val="93"/>
        </w:trPr>
        <w:tc>
          <w:tcPr>
            <w:tcW w:w="3138" w:type="dxa"/>
            <w:vMerge/>
            <w:shd w:val="clear" w:color="auto" w:fill="C6D9F1" w:themeFill="text2" w:themeFillTint="33"/>
          </w:tcPr>
          <w:p w:rsidR="006F106A" w:rsidRPr="00003C88" w:rsidRDefault="006F106A" w:rsidP="00003C88">
            <w:pPr>
              <w:spacing w:after="200" w:line="276" w:lineRule="auto"/>
              <w:contextualSpacing/>
              <w:rPr>
                <w:rFonts w:eastAsia="Calibri" w:cs="Times New Roman"/>
                <w:b/>
              </w:rPr>
            </w:pPr>
          </w:p>
        </w:tc>
        <w:tc>
          <w:tcPr>
            <w:tcW w:w="1817" w:type="dxa"/>
          </w:tcPr>
          <w:p w:rsidR="006F106A" w:rsidRDefault="006F106A">
            <w:r>
              <w:t>Hay</w:t>
            </w:r>
          </w:p>
        </w:tc>
        <w:tc>
          <w:tcPr>
            <w:tcW w:w="990" w:type="dxa"/>
          </w:tcPr>
          <w:p w:rsidR="006F106A" w:rsidRDefault="006F106A">
            <w:r w:rsidRPr="005F7636">
              <w:t>2008</w:t>
            </w:r>
          </w:p>
        </w:tc>
        <w:tc>
          <w:tcPr>
            <w:tcW w:w="2988" w:type="dxa"/>
          </w:tcPr>
          <w:p w:rsidR="006F106A" w:rsidRDefault="006F106A"/>
        </w:tc>
        <w:tc>
          <w:tcPr>
            <w:tcW w:w="5683" w:type="dxa"/>
            <w:vMerge/>
          </w:tcPr>
          <w:p w:rsidR="006F106A" w:rsidRDefault="006F106A"/>
        </w:tc>
      </w:tr>
      <w:tr w:rsidR="006F106A" w:rsidTr="009469F8">
        <w:trPr>
          <w:trHeight w:val="93"/>
        </w:trPr>
        <w:tc>
          <w:tcPr>
            <w:tcW w:w="3138" w:type="dxa"/>
            <w:vMerge/>
            <w:shd w:val="clear" w:color="auto" w:fill="C6D9F1" w:themeFill="text2" w:themeFillTint="33"/>
          </w:tcPr>
          <w:p w:rsidR="006F106A" w:rsidRPr="00003C88" w:rsidRDefault="006F106A" w:rsidP="00003C88">
            <w:pPr>
              <w:spacing w:after="200" w:line="276" w:lineRule="auto"/>
              <w:contextualSpacing/>
              <w:rPr>
                <w:rFonts w:eastAsia="Calibri" w:cs="Times New Roman"/>
                <w:b/>
              </w:rPr>
            </w:pPr>
          </w:p>
        </w:tc>
        <w:tc>
          <w:tcPr>
            <w:tcW w:w="1817" w:type="dxa"/>
          </w:tcPr>
          <w:p w:rsidR="006F106A" w:rsidRDefault="006F106A">
            <w:proofErr w:type="spellStart"/>
            <w:r>
              <w:t>Jellum’s</w:t>
            </w:r>
            <w:proofErr w:type="spellEnd"/>
          </w:p>
        </w:tc>
        <w:tc>
          <w:tcPr>
            <w:tcW w:w="990" w:type="dxa"/>
          </w:tcPr>
          <w:p w:rsidR="006F106A" w:rsidRDefault="006F106A">
            <w:r w:rsidRPr="005F7636">
              <w:t>2008</w:t>
            </w:r>
          </w:p>
        </w:tc>
        <w:tc>
          <w:tcPr>
            <w:tcW w:w="2988" w:type="dxa"/>
          </w:tcPr>
          <w:p w:rsidR="006F106A" w:rsidRDefault="006F106A"/>
        </w:tc>
        <w:tc>
          <w:tcPr>
            <w:tcW w:w="5683" w:type="dxa"/>
            <w:vMerge/>
          </w:tcPr>
          <w:p w:rsidR="006F106A" w:rsidRDefault="006F106A"/>
        </w:tc>
      </w:tr>
      <w:tr w:rsidR="006F106A" w:rsidTr="009469F8">
        <w:trPr>
          <w:trHeight w:val="93"/>
        </w:trPr>
        <w:tc>
          <w:tcPr>
            <w:tcW w:w="3138" w:type="dxa"/>
            <w:vMerge/>
            <w:shd w:val="clear" w:color="auto" w:fill="C6D9F1" w:themeFill="text2" w:themeFillTint="33"/>
          </w:tcPr>
          <w:p w:rsidR="006F106A" w:rsidRPr="00003C88" w:rsidRDefault="006F106A" w:rsidP="00003C88">
            <w:pPr>
              <w:spacing w:after="200" w:line="276" w:lineRule="auto"/>
              <w:contextualSpacing/>
              <w:rPr>
                <w:rFonts w:eastAsia="Calibri" w:cs="Times New Roman"/>
                <w:b/>
              </w:rPr>
            </w:pPr>
          </w:p>
        </w:tc>
        <w:tc>
          <w:tcPr>
            <w:tcW w:w="1817" w:type="dxa"/>
          </w:tcPr>
          <w:p w:rsidR="006F106A" w:rsidRDefault="006F106A">
            <w:r>
              <w:t>Long</w:t>
            </w:r>
          </w:p>
        </w:tc>
        <w:tc>
          <w:tcPr>
            <w:tcW w:w="990" w:type="dxa"/>
          </w:tcPr>
          <w:p w:rsidR="006F106A" w:rsidRDefault="006F106A">
            <w:r w:rsidRPr="005F7636">
              <w:t>2008</w:t>
            </w:r>
          </w:p>
        </w:tc>
        <w:tc>
          <w:tcPr>
            <w:tcW w:w="2988" w:type="dxa"/>
          </w:tcPr>
          <w:p w:rsidR="006F106A" w:rsidRDefault="006F106A"/>
        </w:tc>
        <w:tc>
          <w:tcPr>
            <w:tcW w:w="5683" w:type="dxa"/>
            <w:vMerge/>
          </w:tcPr>
          <w:p w:rsidR="006F106A" w:rsidRDefault="006F106A"/>
        </w:tc>
      </w:tr>
      <w:tr w:rsidR="006F106A" w:rsidTr="009469F8">
        <w:trPr>
          <w:trHeight w:val="93"/>
        </w:trPr>
        <w:tc>
          <w:tcPr>
            <w:tcW w:w="3138" w:type="dxa"/>
            <w:vMerge/>
            <w:shd w:val="clear" w:color="auto" w:fill="C6D9F1" w:themeFill="text2" w:themeFillTint="33"/>
          </w:tcPr>
          <w:p w:rsidR="006F106A" w:rsidRPr="00003C88" w:rsidRDefault="006F106A" w:rsidP="00003C88">
            <w:pPr>
              <w:spacing w:after="200" w:line="276" w:lineRule="auto"/>
              <w:contextualSpacing/>
              <w:rPr>
                <w:rFonts w:eastAsia="Calibri" w:cs="Times New Roman"/>
                <w:b/>
              </w:rPr>
            </w:pPr>
          </w:p>
        </w:tc>
        <w:tc>
          <w:tcPr>
            <w:tcW w:w="1817" w:type="dxa"/>
          </w:tcPr>
          <w:p w:rsidR="006F106A" w:rsidRDefault="006F106A">
            <w:r>
              <w:t>Loon</w:t>
            </w:r>
          </w:p>
        </w:tc>
        <w:tc>
          <w:tcPr>
            <w:tcW w:w="990" w:type="dxa"/>
          </w:tcPr>
          <w:p w:rsidR="006F106A" w:rsidRDefault="006F106A">
            <w:r w:rsidRPr="005F7636">
              <w:t>2008</w:t>
            </w:r>
          </w:p>
        </w:tc>
        <w:tc>
          <w:tcPr>
            <w:tcW w:w="2988" w:type="dxa"/>
          </w:tcPr>
          <w:p w:rsidR="006F106A" w:rsidRDefault="006F106A"/>
        </w:tc>
        <w:tc>
          <w:tcPr>
            <w:tcW w:w="5683" w:type="dxa"/>
            <w:vMerge/>
          </w:tcPr>
          <w:p w:rsidR="006F106A" w:rsidRDefault="006F106A"/>
        </w:tc>
      </w:tr>
      <w:tr w:rsidR="006F106A" w:rsidTr="009469F8">
        <w:trPr>
          <w:trHeight w:val="93"/>
        </w:trPr>
        <w:tc>
          <w:tcPr>
            <w:tcW w:w="3138" w:type="dxa"/>
            <w:vMerge/>
            <w:shd w:val="clear" w:color="auto" w:fill="C6D9F1" w:themeFill="text2" w:themeFillTint="33"/>
          </w:tcPr>
          <w:p w:rsidR="006F106A" w:rsidRPr="00003C88" w:rsidRDefault="006F106A" w:rsidP="00003C88">
            <w:pPr>
              <w:spacing w:after="200" w:line="276" w:lineRule="auto"/>
              <w:contextualSpacing/>
              <w:rPr>
                <w:rFonts w:eastAsia="Calibri" w:cs="Times New Roman"/>
                <w:b/>
              </w:rPr>
            </w:pPr>
          </w:p>
        </w:tc>
        <w:tc>
          <w:tcPr>
            <w:tcW w:w="1817" w:type="dxa"/>
          </w:tcPr>
          <w:p w:rsidR="006F106A" w:rsidRDefault="006F106A">
            <w:r>
              <w:t>Louise</w:t>
            </w:r>
          </w:p>
        </w:tc>
        <w:tc>
          <w:tcPr>
            <w:tcW w:w="990" w:type="dxa"/>
          </w:tcPr>
          <w:p w:rsidR="006F106A" w:rsidRDefault="006F106A">
            <w:r w:rsidRPr="005F7636">
              <w:t>2008</w:t>
            </w:r>
          </w:p>
        </w:tc>
        <w:tc>
          <w:tcPr>
            <w:tcW w:w="2988" w:type="dxa"/>
          </w:tcPr>
          <w:p w:rsidR="006F106A" w:rsidRDefault="006F106A"/>
        </w:tc>
        <w:tc>
          <w:tcPr>
            <w:tcW w:w="5683" w:type="dxa"/>
            <w:vMerge/>
          </w:tcPr>
          <w:p w:rsidR="006F106A" w:rsidRDefault="006F106A"/>
        </w:tc>
      </w:tr>
      <w:tr w:rsidR="006F106A" w:rsidTr="009469F8">
        <w:trPr>
          <w:trHeight w:val="93"/>
        </w:trPr>
        <w:tc>
          <w:tcPr>
            <w:tcW w:w="3138" w:type="dxa"/>
            <w:vMerge/>
            <w:shd w:val="clear" w:color="auto" w:fill="C6D9F1" w:themeFill="text2" w:themeFillTint="33"/>
          </w:tcPr>
          <w:p w:rsidR="006F106A" w:rsidRPr="00003C88" w:rsidRDefault="006F106A" w:rsidP="00003C88">
            <w:pPr>
              <w:spacing w:after="200" w:line="276" w:lineRule="auto"/>
              <w:contextualSpacing/>
              <w:rPr>
                <w:rFonts w:eastAsia="Calibri" w:cs="Times New Roman"/>
                <w:b/>
              </w:rPr>
            </w:pPr>
          </w:p>
        </w:tc>
        <w:tc>
          <w:tcPr>
            <w:tcW w:w="1817" w:type="dxa"/>
          </w:tcPr>
          <w:p w:rsidR="006F106A" w:rsidRDefault="006F106A">
            <w:r>
              <w:t>Mud</w:t>
            </w:r>
          </w:p>
        </w:tc>
        <w:tc>
          <w:tcPr>
            <w:tcW w:w="990" w:type="dxa"/>
          </w:tcPr>
          <w:p w:rsidR="006F106A" w:rsidRDefault="006F106A">
            <w:r>
              <w:t>2010</w:t>
            </w:r>
          </w:p>
        </w:tc>
        <w:tc>
          <w:tcPr>
            <w:tcW w:w="2988" w:type="dxa"/>
          </w:tcPr>
          <w:p w:rsidR="006F106A" w:rsidRDefault="006F106A"/>
        </w:tc>
        <w:tc>
          <w:tcPr>
            <w:tcW w:w="5683" w:type="dxa"/>
            <w:vMerge/>
          </w:tcPr>
          <w:p w:rsidR="006F106A" w:rsidRDefault="006F106A"/>
        </w:tc>
      </w:tr>
      <w:tr w:rsidR="006F106A" w:rsidTr="009469F8">
        <w:trPr>
          <w:trHeight w:val="93"/>
        </w:trPr>
        <w:tc>
          <w:tcPr>
            <w:tcW w:w="3138" w:type="dxa"/>
            <w:vMerge/>
            <w:shd w:val="clear" w:color="auto" w:fill="C6D9F1" w:themeFill="text2" w:themeFillTint="33"/>
          </w:tcPr>
          <w:p w:rsidR="006F106A" w:rsidRPr="00003C88" w:rsidRDefault="006F106A" w:rsidP="00003C88">
            <w:pPr>
              <w:spacing w:after="200" w:line="276" w:lineRule="auto"/>
              <w:contextualSpacing/>
              <w:rPr>
                <w:rFonts w:eastAsia="Calibri" w:cs="Times New Roman"/>
                <w:b/>
              </w:rPr>
            </w:pPr>
          </w:p>
        </w:tc>
        <w:tc>
          <w:tcPr>
            <w:tcW w:w="1817" w:type="dxa"/>
          </w:tcPr>
          <w:p w:rsidR="006F106A" w:rsidRDefault="006F106A">
            <w:r>
              <w:t>South Twin</w:t>
            </w:r>
          </w:p>
        </w:tc>
        <w:tc>
          <w:tcPr>
            <w:tcW w:w="990" w:type="dxa"/>
          </w:tcPr>
          <w:p w:rsidR="006F106A" w:rsidRDefault="006F106A">
            <w:r w:rsidRPr="005F7636">
              <w:t>2008</w:t>
            </w:r>
          </w:p>
        </w:tc>
        <w:tc>
          <w:tcPr>
            <w:tcW w:w="2988" w:type="dxa"/>
          </w:tcPr>
          <w:p w:rsidR="006F106A" w:rsidRDefault="006F106A"/>
        </w:tc>
        <w:tc>
          <w:tcPr>
            <w:tcW w:w="5683" w:type="dxa"/>
            <w:vMerge/>
          </w:tcPr>
          <w:p w:rsidR="006F106A" w:rsidRDefault="006F106A"/>
        </w:tc>
      </w:tr>
      <w:tr w:rsidR="001F6675" w:rsidTr="009469F8">
        <w:tc>
          <w:tcPr>
            <w:tcW w:w="3138" w:type="dxa"/>
            <w:shd w:val="clear" w:color="auto" w:fill="C6D9F1" w:themeFill="text2" w:themeFillTint="33"/>
          </w:tcPr>
          <w:p w:rsidR="001F6675" w:rsidRPr="00003C88" w:rsidRDefault="001F6675" w:rsidP="00003C88">
            <w:pPr>
              <w:rPr>
                <w:rFonts w:eastAsia="Calibri" w:cs="Times New Roman"/>
                <w:b/>
              </w:rPr>
            </w:pPr>
            <w:r w:rsidRPr="00003C88">
              <w:rPr>
                <w:rFonts w:eastAsia="Calibri" w:cs="Times New Roman"/>
                <w:b/>
              </w:rPr>
              <w:t>Carver-</w:t>
            </w:r>
            <w:proofErr w:type="spellStart"/>
            <w:r w:rsidRPr="00003C88">
              <w:rPr>
                <w:rFonts w:eastAsia="Calibri" w:cs="Times New Roman"/>
                <w:b/>
              </w:rPr>
              <w:t>Bevens</w:t>
            </w:r>
            <w:proofErr w:type="spellEnd"/>
            <w:r w:rsidRPr="00003C88">
              <w:rPr>
                <w:rFonts w:eastAsia="Calibri" w:cs="Times New Roman"/>
                <w:b/>
              </w:rPr>
              <w:t xml:space="preserve"> C</w:t>
            </w:r>
            <w:r w:rsidR="006C61C5">
              <w:rPr>
                <w:rFonts w:eastAsia="Calibri" w:cs="Times New Roman"/>
                <w:b/>
              </w:rPr>
              <w:t>reeks – Fecal Coliform Bacteria</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6C61C5">
            <w:r>
              <w:t xml:space="preserve">Carver, </w:t>
            </w:r>
            <w:proofErr w:type="spellStart"/>
            <w:r>
              <w:t>Bevens</w:t>
            </w:r>
            <w:proofErr w:type="spellEnd"/>
            <w:r>
              <w:t>, and Silver Creeks</w:t>
            </w:r>
          </w:p>
        </w:tc>
        <w:tc>
          <w:tcPr>
            <w:tcW w:w="990" w:type="dxa"/>
          </w:tcPr>
          <w:p w:rsidR="001F6675" w:rsidRDefault="006C61C5">
            <w:r>
              <w:t>n/a</w:t>
            </w:r>
          </w:p>
        </w:tc>
        <w:tc>
          <w:tcPr>
            <w:tcW w:w="2988" w:type="dxa"/>
          </w:tcPr>
          <w:p w:rsidR="001F6675" w:rsidRDefault="006C61C5">
            <w:r>
              <w:t>1997-2003</w:t>
            </w:r>
          </w:p>
        </w:tc>
        <w:tc>
          <w:tcPr>
            <w:tcW w:w="5683" w:type="dxa"/>
          </w:tcPr>
          <w:p w:rsidR="001F6675" w:rsidRDefault="001F6675"/>
        </w:tc>
      </w:tr>
      <w:tr w:rsidR="006C61C5" w:rsidTr="006C61C5">
        <w:trPr>
          <w:trHeight w:val="420"/>
        </w:trPr>
        <w:tc>
          <w:tcPr>
            <w:tcW w:w="3138" w:type="dxa"/>
            <w:vMerge w:val="restart"/>
            <w:shd w:val="clear" w:color="auto" w:fill="C6D9F1" w:themeFill="text2" w:themeFillTint="33"/>
          </w:tcPr>
          <w:p w:rsidR="006C61C5" w:rsidRPr="00003C88" w:rsidRDefault="006C61C5" w:rsidP="00003C88">
            <w:pPr>
              <w:rPr>
                <w:rFonts w:eastAsia="Calibri" w:cs="Times New Roman"/>
                <w:b/>
              </w:rPr>
            </w:pPr>
            <w:r w:rsidRPr="00003C88">
              <w:rPr>
                <w:rFonts w:eastAsia="Calibri" w:cs="Times New Roman"/>
                <w:b/>
              </w:rPr>
              <w:t>Carver-</w:t>
            </w:r>
            <w:proofErr w:type="spellStart"/>
            <w:r w:rsidRPr="00003C88">
              <w:rPr>
                <w:rFonts w:eastAsia="Calibri" w:cs="Times New Roman"/>
                <w:b/>
              </w:rPr>
              <w:t>Bevens</w:t>
            </w:r>
            <w:proofErr w:type="spellEnd"/>
            <w:r w:rsidRPr="00003C88">
              <w:rPr>
                <w:rFonts w:eastAsia="Calibri" w:cs="Times New Roman"/>
                <w:b/>
              </w:rPr>
              <w:t xml:space="preserve"> Creeks –Turbidity</w:t>
            </w:r>
          </w:p>
          <w:p w:rsidR="006C61C5" w:rsidRPr="00003C88" w:rsidRDefault="006C61C5" w:rsidP="00981D93">
            <w:pPr>
              <w:spacing w:after="200" w:line="276" w:lineRule="auto"/>
              <w:contextualSpacing/>
              <w:rPr>
                <w:rFonts w:eastAsia="Calibri" w:cs="Times New Roman"/>
                <w:b/>
              </w:rPr>
            </w:pPr>
          </w:p>
        </w:tc>
        <w:tc>
          <w:tcPr>
            <w:tcW w:w="1817" w:type="dxa"/>
          </w:tcPr>
          <w:p w:rsidR="006C61C5" w:rsidRDefault="006C61C5">
            <w:r>
              <w:t>Carver Creek</w:t>
            </w:r>
          </w:p>
        </w:tc>
        <w:tc>
          <w:tcPr>
            <w:tcW w:w="990" w:type="dxa"/>
          </w:tcPr>
          <w:p w:rsidR="006C61C5" w:rsidRDefault="006C61C5">
            <w:r w:rsidRPr="009727E0">
              <w:t>n/a</w:t>
            </w:r>
          </w:p>
        </w:tc>
        <w:tc>
          <w:tcPr>
            <w:tcW w:w="2988" w:type="dxa"/>
          </w:tcPr>
          <w:p w:rsidR="006C61C5" w:rsidRDefault="006C61C5">
            <w:r>
              <w:t>1990-2007</w:t>
            </w:r>
          </w:p>
        </w:tc>
        <w:tc>
          <w:tcPr>
            <w:tcW w:w="5683" w:type="dxa"/>
            <w:vMerge w:val="restart"/>
          </w:tcPr>
          <w:p w:rsidR="006C61C5" w:rsidRDefault="006C61C5"/>
        </w:tc>
      </w:tr>
      <w:tr w:rsidR="006C61C5" w:rsidTr="009469F8">
        <w:trPr>
          <w:trHeight w:val="420"/>
        </w:trPr>
        <w:tc>
          <w:tcPr>
            <w:tcW w:w="3138" w:type="dxa"/>
            <w:vMerge/>
            <w:shd w:val="clear" w:color="auto" w:fill="C6D9F1" w:themeFill="text2" w:themeFillTint="33"/>
          </w:tcPr>
          <w:p w:rsidR="006C61C5" w:rsidRPr="00003C88" w:rsidRDefault="006C61C5" w:rsidP="00003C88">
            <w:pPr>
              <w:rPr>
                <w:rFonts w:eastAsia="Calibri" w:cs="Times New Roman"/>
                <w:b/>
              </w:rPr>
            </w:pPr>
          </w:p>
        </w:tc>
        <w:tc>
          <w:tcPr>
            <w:tcW w:w="1817" w:type="dxa"/>
          </w:tcPr>
          <w:p w:rsidR="006C61C5" w:rsidRDefault="006C61C5">
            <w:proofErr w:type="spellStart"/>
            <w:r>
              <w:t>Bevens</w:t>
            </w:r>
            <w:proofErr w:type="spellEnd"/>
            <w:r>
              <w:t xml:space="preserve"> Creek</w:t>
            </w:r>
          </w:p>
        </w:tc>
        <w:tc>
          <w:tcPr>
            <w:tcW w:w="990" w:type="dxa"/>
          </w:tcPr>
          <w:p w:rsidR="006C61C5" w:rsidRDefault="006C61C5">
            <w:r w:rsidRPr="009727E0">
              <w:t>n/a</w:t>
            </w:r>
          </w:p>
        </w:tc>
        <w:tc>
          <w:tcPr>
            <w:tcW w:w="2988" w:type="dxa"/>
          </w:tcPr>
          <w:p w:rsidR="006C61C5" w:rsidRDefault="006C61C5">
            <w:r>
              <w:t>1989-2007</w:t>
            </w:r>
          </w:p>
          <w:p w:rsidR="006C61C5" w:rsidRDefault="006C61C5"/>
        </w:tc>
        <w:tc>
          <w:tcPr>
            <w:tcW w:w="5683" w:type="dxa"/>
            <w:vMerge/>
          </w:tcPr>
          <w:p w:rsidR="006C61C5" w:rsidRDefault="006C61C5"/>
        </w:tc>
      </w:tr>
      <w:tr w:rsidR="00401B14" w:rsidTr="002620AE">
        <w:trPr>
          <w:trHeight w:val="1260"/>
        </w:trPr>
        <w:tc>
          <w:tcPr>
            <w:tcW w:w="3138" w:type="dxa"/>
            <w:shd w:val="clear" w:color="auto" w:fill="C6D9F1" w:themeFill="text2" w:themeFillTint="33"/>
          </w:tcPr>
          <w:p w:rsidR="00401B14" w:rsidRPr="00401B14" w:rsidRDefault="00401B14" w:rsidP="00401B14">
            <w:pPr>
              <w:spacing w:after="200" w:line="276" w:lineRule="auto"/>
              <w:contextualSpacing/>
              <w:rPr>
                <w:rFonts w:eastAsia="Calibri" w:cs="Times New Roman"/>
                <w:b/>
              </w:rPr>
            </w:pPr>
            <w:r w:rsidRPr="00003C88">
              <w:rPr>
                <w:rFonts w:eastAsia="Calibri" w:cs="Times New Roman"/>
                <w:b/>
              </w:rPr>
              <w:t xml:space="preserve">Carver Creek Lakes: Excess </w:t>
            </w:r>
            <w:r>
              <w:rPr>
                <w:rFonts w:eastAsia="Calibri" w:cs="Times New Roman"/>
                <w:b/>
              </w:rPr>
              <w:t>Nutrients (Metro) (Benton Lake)</w:t>
            </w:r>
          </w:p>
        </w:tc>
        <w:tc>
          <w:tcPr>
            <w:tcW w:w="1817" w:type="dxa"/>
          </w:tcPr>
          <w:p w:rsidR="00401B14" w:rsidRDefault="00401B14">
            <w:r>
              <w:t>Benton Lake</w:t>
            </w:r>
          </w:p>
        </w:tc>
        <w:tc>
          <w:tcPr>
            <w:tcW w:w="990" w:type="dxa"/>
          </w:tcPr>
          <w:p w:rsidR="00401B14" w:rsidRDefault="00401B14">
            <w:r>
              <w:t>n/a</w:t>
            </w:r>
          </w:p>
        </w:tc>
        <w:tc>
          <w:tcPr>
            <w:tcW w:w="2988" w:type="dxa"/>
          </w:tcPr>
          <w:p w:rsidR="00401B14" w:rsidRDefault="00401B14"/>
        </w:tc>
        <w:tc>
          <w:tcPr>
            <w:tcW w:w="5683" w:type="dxa"/>
          </w:tcPr>
          <w:p w:rsidR="00401B14" w:rsidRDefault="00401B14">
            <w:r w:rsidRPr="00401B14">
              <w:t>The WLA is considered to apply to ave</w:t>
            </w:r>
            <w:r>
              <w:t>rage precipitation conditions. 2001 was used to determine the TMDL for the lake.</w:t>
            </w:r>
          </w:p>
        </w:tc>
      </w:tr>
      <w:tr w:rsidR="001F6675" w:rsidTr="009469F8">
        <w:tc>
          <w:tcPr>
            <w:tcW w:w="3138" w:type="dxa"/>
            <w:shd w:val="clear" w:color="auto" w:fill="C6D9F1" w:themeFill="text2" w:themeFillTint="33"/>
          </w:tcPr>
          <w:p w:rsidR="001F6675" w:rsidRPr="00003C88" w:rsidRDefault="001F6675" w:rsidP="00003C88">
            <w:pPr>
              <w:spacing w:after="200" w:line="276" w:lineRule="auto"/>
              <w:contextualSpacing/>
              <w:rPr>
                <w:rFonts w:eastAsia="Calibri" w:cs="Times New Roman"/>
                <w:b/>
              </w:rPr>
            </w:pPr>
            <w:r w:rsidRPr="00003C88">
              <w:rPr>
                <w:rFonts w:eastAsia="Calibri" w:cs="Times New Roman"/>
                <w:b/>
              </w:rPr>
              <w:t>Bluff Creek: Turbidity and Impaired Fish Biota (Metro)</w:t>
            </w:r>
          </w:p>
          <w:p w:rsidR="001F6675" w:rsidRPr="00003C88" w:rsidRDefault="001F6675" w:rsidP="00981D93">
            <w:pPr>
              <w:spacing w:after="200" w:line="276" w:lineRule="auto"/>
              <w:contextualSpacing/>
              <w:rPr>
                <w:rFonts w:eastAsia="Calibri" w:cs="Times New Roman"/>
                <w:b/>
              </w:rPr>
            </w:pPr>
          </w:p>
        </w:tc>
        <w:tc>
          <w:tcPr>
            <w:tcW w:w="1817" w:type="dxa"/>
          </w:tcPr>
          <w:p w:rsidR="001F6675" w:rsidRDefault="006C61C5">
            <w:r>
              <w:t>Bluff Creek</w:t>
            </w:r>
          </w:p>
        </w:tc>
        <w:tc>
          <w:tcPr>
            <w:tcW w:w="990" w:type="dxa"/>
          </w:tcPr>
          <w:p w:rsidR="001F6675" w:rsidRDefault="006C61C5">
            <w:r>
              <w:t>n/a</w:t>
            </w:r>
          </w:p>
        </w:tc>
        <w:tc>
          <w:tcPr>
            <w:tcW w:w="2988" w:type="dxa"/>
          </w:tcPr>
          <w:p w:rsidR="001F6675" w:rsidRDefault="004F09C5">
            <w:r>
              <w:t>2008-2010</w:t>
            </w:r>
          </w:p>
        </w:tc>
        <w:tc>
          <w:tcPr>
            <w:tcW w:w="5683" w:type="dxa"/>
          </w:tcPr>
          <w:p w:rsidR="001F6675" w:rsidRDefault="001F6675"/>
        </w:tc>
      </w:tr>
    </w:tbl>
    <w:p w:rsidR="00BF77DF" w:rsidRDefault="00BF77DF" w:rsidP="00BF77DF">
      <w:pPr>
        <w:rPr>
          <w:b/>
        </w:rPr>
      </w:pPr>
    </w:p>
    <w:p w:rsidR="000D2170" w:rsidRDefault="00570A9A" w:rsidP="00BF77DF">
      <w:r>
        <w:t xml:space="preserve"> </w:t>
      </w:r>
    </w:p>
    <w:p w:rsidR="001E4BF6" w:rsidRDefault="001E4BF6" w:rsidP="00BF77DF"/>
    <w:p w:rsidR="00FB73E5" w:rsidRDefault="00FB73E5"/>
    <w:p w:rsidR="00FB73E5" w:rsidRPr="00FB73E5" w:rsidRDefault="00FB73E5" w:rsidP="00FB73E5"/>
    <w:p w:rsidR="00FB73E5" w:rsidRPr="00FB73E5" w:rsidRDefault="00FB73E5" w:rsidP="00FB73E5"/>
    <w:p w:rsidR="00FB73E5" w:rsidRPr="00FB73E5" w:rsidRDefault="00FB73E5" w:rsidP="00FB73E5"/>
    <w:p w:rsidR="00FB73E5" w:rsidRPr="00FB73E5" w:rsidRDefault="00FB73E5" w:rsidP="00FB73E5"/>
    <w:p w:rsidR="00FB73E5" w:rsidRDefault="00FB73E5" w:rsidP="00FB73E5"/>
    <w:p w:rsidR="008C0F11" w:rsidRPr="00FB73E5" w:rsidRDefault="00FB73E5" w:rsidP="00FB73E5">
      <w:pPr>
        <w:tabs>
          <w:tab w:val="left" w:pos="945"/>
        </w:tabs>
      </w:pPr>
      <w:r>
        <w:tab/>
      </w:r>
    </w:p>
    <w:sectPr w:rsidR="008C0F11" w:rsidRPr="00FB73E5" w:rsidSect="00003C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E6CE3"/>
    <w:multiLevelType w:val="hybridMultilevel"/>
    <w:tmpl w:val="A786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11"/>
    <w:rsid w:val="00003C88"/>
    <w:rsid w:val="000304A7"/>
    <w:rsid w:val="0004441A"/>
    <w:rsid w:val="0008508B"/>
    <w:rsid w:val="000A51FE"/>
    <w:rsid w:val="000D2170"/>
    <w:rsid w:val="000E270E"/>
    <w:rsid w:val="00105639"/>
    <w:rsid w:val="00144178"/>
    <w:rsid w:val="00151567"/>
    <w:rsid w:val="00155166"/>
    <w:rsid w:val="001A4852"/>
    <w:rsid w:val="001E4BF6"/>
    <w:rsid w:val="001F6675"/>
    <w:rsid w:val="00262D9B"/>
    <w:rsid w:val="00283BB7"/>
    <w:rsid w:val="00293E31"/>
    <w:rsid w:val="003031D5"/>
    <w:rsid w:val="003D2111"/>
    <w:rsid w:val="003D4587"/>
    <w:rsid w:val="00401B14"/>
    <w:rsid w:val="0040789F"/>
    <w:rsid w:val="00444BAC"/>
    <w:rsid w:val="004F09C5"/>
    <w:rsid w:val="004F6D65"/>
    <w:rsid w:val="00534853"/>
    <w:rsid w:val="00536FAC"/>
    <w:rsid w:val="00570A9A"/>
    <w:rsid w:val="005C51B4"/>
    <w:rsid w:val="005E1BA9"/>
    <w:rsid w:val="006018F2"/>
    <w:rsid w:val="006104F8"/>
    <w:rsid w:val="00614EDF"/>
    <w:rsid w:val="00616C9E"/>
    <w:rsid w:val="00632106"/>
    <w:rsid w:val="0064254E"/>
    <w:rsid w:val="006703C3"/>
    <w:rsid w:val="006C61C5"/>
    <w:rsid w:val="006F106A"/>
    <w:rsid w:val="007952FA"/>
    <w:rsid w:val="00835DA0"/>
    <w:rsid w:val="008620E4"/>
    <w:rsid w:val="0088044D"/>
    <w:rsid w:val="008C0F11"/>
    <w:rsid w:val="008D5A33"/>
    <w:rsid w:val="00902C13"/>
    <w:rsid w:val="00903391"/>
    <w:rsid w:val="009469F8"/>
    <w:rsid w:val="00981D93"/>
    <w:rsid w:val="00A16F63"/>
    <w:rsid w:val="00A534BC"/>
    <w:rsid w:val="00A608F0"/>
    <w:rsid w:val="00B568D8"/>
    <w:rsid w:val="00B73FBC"/>
    <w:rsid w:val="00BF77DF"/>
    <w:rsid w:val="00C4696A"/>
    <w:rsid w:val="00C91E4E"/>
    <w:rsid w:val="00CA0C0B"/>
    <w:rsid w:val="00CA6030"/>
    <w:rsid w:val="00CE1ED4"/>
    <w:rsid w:val="00CF2398"/>
    <w:rsid w:val="00CF57EE"/>
    <w:rsid w:val="00D1476B"/>
    <w:rsid w:val="00D26689"/>
    <w:rsid w:val="00D451CD"/>
    <w:rsid w:val="00D72A85"/>
    <w:rsid w:val="00DE04D5"/>
    <w:rsid w:val="00EB463C"/>
    <w:rsid w:val="00F26CF3"/>
    <w:rsid w:val="00F54DA6"/>
    <w:rsid w:val="00F622C1"/>
    <w:rsid w:val="00F91895"/>
    <w:rsid w:val="00F956D5"/>
    <w:rsid w:val="00FB73E5"/>
    <w:rsid w:val="00FE06E1"/>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F11"/>
    <w:pPr>
      <w:ind w:left="720"/>
      <w:contextualSpacing/>
    </w:pPr>
  </w:style>
  <w:style w:type="table" w:styleId="TableGrid">
    <w:name w:val="Table Grid"/>
    <w:basedOn w:val="TableNormal"/>
    <w:uiPriority w:val="59"/>
    <w:rsid w:val="00BF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6D5"/>
    <w:rPr>
      <w:rFonts w:ascii="Tahoma" w:hAnsi="Tahoma" w:cs="Tahoma"/>
      <w:sz w:val="16"/>
      <w:szCs w:val="16"/>
    </w:rPr>
  </w:style>
  <w:style w:type="character" w:customStyle="1" w:styleId="BalloonTextChar">
    <w:name w:val="Balloon Text Char"/>
    <w:basedOn w:val="DefaultParagraphFont"/>
    <w:link w:val="BalloonText"/>
    <w:uiPriority w:val="99"/>
    <w:semiHidden/>
    <w:rsid w:val="00F95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F11"/>
    <w:pPr>
      <w:ind w:left="720"/>
      <w:contextualSpacing/>
    </w:pPr>
  </w:style>
  <w:style w:type="table" w:styleId="TableGrid">
    <w:name w:val="Table Grid"/>
    <w:basedOn w:val="TableNormal"/>
    <w:uiPriority w:val="59"/>
    <w:rsid w:val="00BF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6D5"/>
    <w:rPr>
      <w:rFonts w:ascii="Tahoma" w:hAnsi="Tahoma" w:cs="Tahoma"/>
      <w:sz w:val="16"/>
      <w:szCs w:val="16"/>
    </w:rPr>
  </w:style>
  <w:style w:type="character" w:customStyle="1" w:styleId="BalloonTextChar">
    <w:name w:val="Balloon Text Char"/>
    <w:basedOn w:val="DefaultParagraphFont"/>
    <w:link w:val="BalloonText"/>
    <w:uiPriority w:val="99"/>
    <w:semiHidden/>
    <w:rsid w:val="00F95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7">
      <w:bodyDiv w:val="1"/>
      <w:marLeft w:val="0"/>
      <w:marRight w:val="0"/>
      <w:marTop w:val="0"/>
      <w:marBottom w:val="0"/>
      <w:divBdr>
        <w:top w:val="none" w:sz="0" w:space="0" w:color="auto"/>
        <w:left w:val="none" w:sz="0" w:space="0" w:color="auto"/>
        <w:bottom w:val="none" w:sz="0" w:space="0" w:color="auto"/>
        <w:right w:val="none" w:sz="0" w:space="0" w:color="auto"/>
      </w:divBdr>
    </w:div>
    <w:div w:id="139004065">
      <w:bodyDiv w:val="1"/>
      <w:marLeft w:val="0"/>
      <w:marRight w:val="0"/>
      <w:marTop w:val="0"/>
      <w:marBottom w:val="0"/>
      <w:divBdr>
        <w:top w:val="none" w:sz="0" w:space="0" w:color="auto"/>
        <w:left w:val="none" w:sz="0" w:space="0" w:color="auto"/>
        <w:bottom w:val="none" w:sz="0" w:space="0" w:color="auto"/>
        <w:right w:val="none" w:sz="0" w:space="0" w:color="auto"/>
      </w:divBdr>
      <w:divsChild>
        <w:div w:id="3749436">
          <w:marLeft w:val="0"/>
          <w:marRight w:val="0"/>
          <w:marTop w:val="0"/>
          <w:marBottom w:val="0"/>
          <w:divBdr>
            <w:top w:val="none" w:sz="0" w:space="0" w:color="auto"/>
            <w:left w:val="none" w:sz="0" w:space="0" w:color="auto"/>
            <w:bottom w:val="none" w:sz="0" w:space="0" w:color="auto"/>
            <w:right w:val="none" w:sz="0" w:space="0" w:color="auto"/>
          </w:divBdr>
        </w:div>
        <w:div w:id="785124717">
          <w:marLeft w:val="0"/>
          <w:marRight w:val="0"/>
          <w:marTop w:val="0"/>
          <w:marBottom w:val="0"/>
          <w:divBdr>
            <w:top w:val="none" w:sz="0" w:space="0" w:color="auto"/>
            <w:left w:val="none" w:sz="0" w:space="0" w:color="auto"/>
            <w:bottom w:val="none" w:sz="0" w:space="0" w:color="auto"/>
            <w:right w:val="none" w:sz="0" w:space="0" w:color="auto"/>
          </w:divBdr>
        </w:div>
        <w:div w:id="405222663">
          <w:marLeft w:val="0"/>
          <w:marRight w:val="0"/>
          <w:marTop w:val="0"/>
          <w:marBottom w:val="0"/>
          <w:divBdr>
            <w:top w:val="none" w:sz="0" w:space="0" w:color="auto"/>
            <w:left w:val="none" w:sz="0" w:space="0" w:color="auto"/>
            <w:bottom w:val="none" w:sz="0" w:space="0" w:color="auto"/>
            <w:right w:val="none" w:sz="0" w:space="0" w:color="auto"/>
          </w:divBdr>
        </w:div>
        <w:div w:id="1854222131">
          <w:marLeft w:val="0"/>
          <w:marRight w:val="0"/>
          <w:marTop w:val="0"/>
          <w:marBottom w:val="0"/>
          <w:divBdr>
            <w:top w:val="none" w:sz="0" w:space="0" w:color="auto"/>
            <w:left w:val="none" w:sz="0" w:space="0" w:color="auto"/>
            <w:bottom w:val="none" w:sz="0" w:space="0" w:color="auto"/>
            <w:right w:val="none" w:sz="0" w:space="0" w:color="auto"/>
          </w:divBdr>
        </w:div>
        <w:div w:id="1466464810">
          <w:marLeft w:val="0"/>
          <w:marRight w:val="0"/>
          <w:marTop w:val="0"/>
          <w:marBottom w:val="0"/>
          <w:divBdr>
            <w:top w:val="none" w:sz="0" w:space="0" w:color="auto"/>
            <w:left w:val="none" w:sz="0" w:space="0" w:color="auto"/>
            <w:bottom w:val="none" w:sz="0" w:space="0" w:color="auto"/>
            <w:right w:val="none" w:sz="0" w:space="0" w:color="auto"/>
          </w:divBdr>
        </w:div>
        <w:div w:id="1554776121">
          <w:marLeft w:val="0"/>
          <w:marRight w:val="0"/>
          <w:marTop w:val="0"/>
          <w:marBottom w:val="0"/>
          <w:divBdr>
            <w:top w:val="none" w:sz="0" w:space="0" w:color="auto"/>
            <w:left w:val="none" w:sz="0" w:space="0" w:color="auto"/>
            <w:bottom w:val="none" w:sz="0" w:space="0" w:color="auto"/>
            <w:right w:val="none" w:sz="0" w:space="0" w:color="auto"/>
          </w:divBdr>
        </w:div>
        <w:div w:id="338896288">
          <w:marLeft w:val="0"/>
          <w:marRight w:val="0"/>
          <w:marTop w:val="0"/>
          <w:marBottom w:val="0"/>
          <w:divBdr>
            <w:top w:val="none" w:sz="0" w:space="0" w:color="auto"/>
            <w:left w:val="none" w:sz="0" w:space="0" w:color="auto"/>
            <w:bottom w:val="none" w:sz="0" w:space="0" w:color="auto"/>
            <w:right w:val="none" w:sz="0" w:space="0" w:color="auto"/>
          </w:divBdr>
        </w:div>
      </w:divsChild>
    </w:div>
    <w:div w:id="157618475">
      <w:bodyDiv w:val="1"/>
      <w:marLeft w:val="0"/>
      <w:marRight w:val="0"/>
      <w:marTop w:val="0"/>
      <w:marBottom w:val="0"/>
      <w:divBdr>
        <w:top w:val="none" w:sz="0" w:space="0" w:color="auto"/>
        <w:left w:val="none" w:sz="0" w:space="0" w:color="auto"/>
        <w:bottom w:val="none" w:sz="0" w:space="0" w:color="auto"/>
        <w:right w:val="none" w:sz="0" w:space="0" w:color="auto"/>
      </w:divBdr>
      <w:divsChild>
        <w:div w:id="524633454">
          <w:marLeft w:val="0"/>
          <w:marRight w:val="0"/>
          <w:marTop w:val="0"/>
          <w:marBottom w:val="0"/>
          <w:divBdr>
            <w:top w:val="none" w:sz="0" w:space="0" w:color="auto"/>
            <w:left w:val="none" w:sz="0" w:space="0" w:color="auto"/>
            <w:bottom w:val="none" w:sz="0" w:space="0" w:color="auto"/>
            <w:right w:val="none" w:sz="0" w:space="0" w:color="auto"/>
          </w:divBdr>
        </w:div>
        <w:div w:id="738599104">
          <w:marLeft w:val="0"/>
          <w:marRight w:val="0"/>
          <w:marTop w:val="0"/>
          <w:marBottom w:val="0"/>
          <w:divBdr>
            <w:top w:val="none" w:sz="0" w:space="0" w:color="auto"/>
            <w:left w:val="none" w:sz="0" w:space="0" w:color="auto"/>
            <w:bottom w:val="none" w:sz="0" w:space="0" w:color="auto"/>
            <w:right w:val="none" w:sz="0" w:space="0" w:color="auto"/>
          </w:divBdr>
        </w:div>
        <w:div w:id="1705671145">
          <w:marLeft w:val="0"/>
          <w:marRight w:val="0"/>
          <w:marTop w:val="0"/>
          <w:marBottom w:val="0"/>
          <w:divBdr>
            <w:top w:val="none" w:sz="0" w:space="0" w:color="auto"/>
            <w:left w:val="none" w:sz="0" w:space="0" w:color="auto"/>
            <w:bottom w:val="none" w:sz="0" w:space="0" w:color="auto"/>
            <w:right w:val="none" w:sz="0" w:space="0" w:color="auto"/>
          </w:divBdr>
        </w:div>
      </w:divsChild>
    </w:div>
    <w:div w:id="175309996">
      <w:bodyDiv w:val="1"/>
      <w:marLeft w:val="0"/>
      <w:marRight w:val="0"/>
      <w:marTop w:val="0"/>
      <w:marBottom w:val="0"/>
      <w:divBdr>
        <w:top w:val="none" w:sz="0" w:space="0" w:color="auto"/>
        <w:left w:val="none" w:sz="0" w:space="0" w:color="auto"/>
        <w:bottom w:val="none" w:sz="0" w:space="0" w:color="auto"/>
        <w:right w:val="none" w:sz="0" w:space="0" w:color="auto"/>
      </w:divBdr>
      <w:divsChild>
        <w:div w:id="340015065">
          <w:marLeft w:val="0"/>
          <w:marRight w:val="0"/>
          <w:marTop w:val="0"/>
          <w:marBottom w:val="0"/>
          <w:divBdr>
            <w:top w:val="none" w:sz="0" w:space="0" w:color="auto"/>
            <w:left w:val="none" w:sz="0" w:space="0" w:color="auto"/>
            <w:bottom w:val="none" w:sz="0" w:space="0" w:color="auto"/>
            <w:right w:val="none" w:sz="0" w:space="0" w:color="auto"/>
          </w:divBdr>
        </w:div>
        <w:div w:id="558322241">
          <w:marLeft w:val="0"/>
          <w:marRight w:val="0"/>
          <w:marTop w:val="0"/>
          <w:marBottom w:val="0"/>
          <w:divBdr>
            <w:top w:val="none" w:sz="0" w:space="0" w:color="auto"/>
            <w:left w:val="none" w:sz="0" w:space="0" w:color="auto"/>
            <w:bottom w:val="none" w:sz="0" w:space="0" w:color="auto"/>
            <w:right w:val="none" w:sz="0" w:space="0" w:color="auto"/>
          </w:divBdr>
        </w:div>
        <w:div w:id="678239447">
          <w:marLeft w:val="0"/>
          <w:marRight w:val="0"/>
          <w:marTop w:val="0"/>
          <w:marBottom w:val="0"/>
          <w:divBdr>
            <w:top w:val="none" w:sz="0" w:space="0" w:color="auto"/>
            <w:left w:val="none" w:sz="0" w:space="0" w:color="auto"/>
            <w:bottom w:val="none" w:sz="0" w:space="0" w:color="auto"/>
            <w:right w:val="none" w:sz="0" w:space="0" w:color="auto"/>
          </w:divBdr>
        </w:div>
        <w:div w:id="2063408412">
          <w:marLeft w:val="0"/>
          <w:marRight w:val="0"/>
          <w:marTop w:val="0"/>
          <w:marBottom w:val="0"/>
          <w:divBdr>
            <w:top w:val="none" w:sz="0" w:space="0" w:color="auto"/>
            <w:left w:val="none" w:sz="0" w:space="0" w:color="auto"/>
            <w:bottom w:val="none" w:sz="0" w:space="0" w:color="auto"/>
            <w:right w:val="none" w:sz="0" w:space="0" w:color="auto"/>
          </w:divBdr>
        </w:div>
        <w:div w:id="1185170320">
          <w:marLeft w:val="0"/>
          <w:marRight w:val="0"/>
          <w:marTop w:val="0"/>
          <w:marBottom w:val="0"/>
          <w:divBdr>
            <w:top w:val="none" w:sz="0" w:space="0" w:color="auto"/>
            <w:left w:val="none" w:sz="0" w:space="0" w:color="auto"/>
            <w:bottom w:val="none" w:sz="0" w:space="0" w:color="auto"/>
            <w:right w:val="none" w:sz="0" w:space="0" w:color="auto"/>
          </w:divBdr>
        </w:div>
      </w:divsChild>
    </w:div>
    <w:div w:id="283970775">
      <w:bodyDiv w:val="1"/>
      <w:marLeft w:val="0"/>
      <w:marRight w:val="0"/>
      <w:marTop w:val="0"/>
      <w:marBottom w:val="0"/>
      <w:divBdr>
        <w:top w:val="none" w:sz="0" w:space="0" w:color="auto"/>
        <w:left w:val="none" w:sz="0" w:space="0" w:color="auto"/>
        <w:bottom w:val="none" w:sz="0" w:space="0" w:color="auto"/>
        <w:right w:val="none" w:sz="0" w:space="0" w:color="auto"/>
      </w:divBdr>
      <w:divsChild>
        <w:div w:id="58746548">
          <w:marLeft w:val="0"/>
          <w:marRight w:val="0"/>
          <w:marTop w:val="0"/>
          <w:marBottom w:val="0"/>
          <w:divBdr>
            <w:top w:val="none" w:sz="0" w:space="0" w:color="auto"/>
            <w:left w:val="none" w:sz="0" w:space="0" w:color="auto"/>
            <w:bottom w:val="none" w:sz="0" w:space="0" w:color="auto"/>
            <w:right w:val="none" w:sz="0" w:space="0" w:color="auto"/>
          </w:divBdr>
        </w:div>
        <w:div w:id="877353155">
          <w:marLeft w:val="0"/>
          <w:marRight w:val="0"/>
          <w:marTop w:val="0"/>
          <w:marBottom w:val="0"/>
          <w:divBdr>
            <w:top w:val="none" w:sz="0" w:space="0" w:color="auto"/>
            <w:left w:val="none" w:sz="0" w:space="0" w:color="auto"/>
            <w:bottom w:val="none" w:sz="0" w:space="0" w:color="auto"/>
            <w:right w:val="none" w:sz="0" w:space="0" w:color="auto"/>
          </w:divBdr>
        </w:div>
        <w:div w:id="1294796356">
          <w:marLeft w:val="0"/>
          <w:marRight w:val="0"/>
          <w:marTop w:val="0"/>
          <w:marBottom w:val="0"/>
          <w:divBdr>
            <w:top w:val="none" w:sz="0" w:space="0" w:color="auto"/>
            <w:left w:val="none" w:sz="0" w:space="0" w:color="auto"/>
            <w:bottom w:val="none" w:sz="0" w:space="0" w:color="auto"/>
            <w:right w:val="none" w:sz="0" w:space="0" w:color="auto"/>
          </w:divBdr>
        </w:div>
        <w:div w:id="1834682420">
          <w:marLeft w:val="0"/>
          <w:marRight w:val="0"/>
          <w:marTop w:val="0"/>
          <w:marBottom w:val="0"/>
          <w:divBdr>
            <w:top w:val="none" w:sz="0" w:space="0" w:color="auto"/>
            <w:left w:val="none" w:sz="0" w:space="0" w:color="auto"/>
            <w:bottom w:val="none" w:sz="0" w:space="0" w:color="auto"/>
            <w:right w:val="none" w:sz="0" w:space="0" w:color="auto"/>
          </w:divBdr>
        </w:div>
        <w:div w:id="1123042010">
          <w:marLeft w:val="0"/>
          <w:marRight w:val="0"/>
          <w:marTop w:val="0"/>
          <w:marBottom w:val="0"/>
          <w:divBdr>
            <w:top w:val="none" w:sz="0" w:space="0" w:color="auto"/>
            <w:left w:val="none" w:sz="0" w:space="0" w:color="auto"/>
            <w:bottom w:val="none" w:sz="0" w:space="0" w:color="auto"/>
            <w:right w:val="none" w:sz="0" w:space="0" w:color="auto"/>
          </w:divBdr>
        </w:div>
        <w:div w:id="1100101455">
          <w:marLeft w:val="0"/>
          <w:marRight w:val="0"/>
          <w:marTop w:val="0"/>
          <w:marBottom w:val="0"/>
          <w:divBdr>
            <w:top w:val="none" w:sz="0" w:space="0" w:color="auto"/>
            <w:left w:val="none" w:sz="0" w:space="0" w:color="auto"/>
            <w:bottom w:val="none" w:sz="0" w:space="0" w:color="auto"/>
            <w:right w:val="none" w:sz="0" w:space="0" w:color="auto"/>
          </w:divBdr>
        </w:div>
        <w:div w:id="1593391639">
          <w:marLeft w:val="0"/>
          <w:marRight w:val="0"/>
          <w:marTop w:val="0"/>
          <w:marBottom w:val="0"/>
          <w:divBdr>
            <w:top w:val="none" w:sz="0" w:space="0" w:color="auto"/>
            <w:left w:val="none" w:sz="0" w:space="0" w:color="auto"/>
            <w:bottom w:val="none" w:sz="0" w:space="0" w:color="auto"/>
            <w:right w:val="none" w:sz="0" w:space="0" w:color="auto"/>
          </w:divBdr>
        </w:div>
      </w:divsChild>
    </w:div>
    <w:div w:id="587038357">
      <w:bodyDiv w:val="1"/>
      <w:marLeft w:val="0"/>
      <w:marRight w:val="0"/>
      <w:marTop w:val="0"/>
      <w:marBottom w:val="0"/>
      <w:divBdr>
        <w:top w:val="none" w:sz="0" w:space="0" w:color="auto"/>
        <w:left w:val="none" w:sz="0" w:space="0" w:color="auto"/>
        <w:bottom w:val="none" w:sz="0" w:space="0" w:color="auto"/>
        <w:right w:val="none" w:sz="0" w:space="0" w:color="auto"/>
      </w:divBdr>
      <w:divsChild>
        <w:div w:id="1560243790">
          <w:marLeft w:val="0"/>
          <w:marRight w:val="0"/>
          <w:marTop w:val="0"/>
          <w:marBottom w:val="0"/>
          <w:divBdr>
            <w:top w:val="none" w:sz="0" w:space="0" w:color="auto"/>
            <w:left w:val="none" w:sz="0" w:space="0" w:color="auto"/>
            <w:bottom w:val="none" w:sz="0" w:space="0" w:color="auto"/>
            <w:right w:val="none" w:sz="0" w:space="0" w:color="auto"/>
          </w:divBdr>
        </w:div>
        <w:div w:id="1590238111">
          <w:marLeft w:val="0"/>
          <w:marRight w:val="0"/>
          <w:marTop w:val="0"/>
          <w:marBottom w:val="0"/>
          <w:divBdr>
            <w:top w:val="none" w:sz="0" w:space="0" w:color="auto"/>
            <w:left w:val="none" w:sz="0" w:space="0" w:color="auto"/>
            <w:bottom w:val="none" w:sz="0" w:space="0" w:color="auto"/>
            <w:right w:val="none" w:sz="0" w:space="0" w:color="auto"/>
          </w:divBdr>
        </w:div>
        <w:div w:id="855463753">
          <w:marLeft w:val="0"/>
          <w:marRight w:val="0"/>
          <w:marTop w:val="0"/>
          <w:marBottom w:val="0"/>
          <w:divBdr>
            <w:top w:val="none" w:sz="0" w:space="0" w:color="auto"/>
            <w:left w:val="none" w:sz="0" w:space="0" w:color="auto"/>
            <w:bottom w:val="none" w:sz="0" w:space="0" w:color="auto"/>
            <w:right w:val="none" w:sz="0" w:space="0" w:color="auto"/>
          </w:divBdr>
        </w:div>
      </w:divsChild>
    </w:div>
    <w:div w:id="638847479">
      <w:bodyDiv w:val="1"/>
      <w:marLeft w:val="0"/>
      <w:marRight w:val="0"/>
      <w:marTop w:val="0"/>
      <w:marBottom w:val="0"/>
      <w:divBdr>
        <w:top w:val="none" w:sz="0" w:space="0" w:color="auto"/>
        <w:left w:val="none" w:sz="0" w:space="0" w:color="auto"/>
        <w:bottom w:val="none" w:sz="0" w:space="0" w:color="auto"/>
        <w:right w:val="none" w:sz="0" w:space="0" w:color="auto"/>
      </w:divBdr>
      <w:divsChild>
        <w:div w:id="492648211">
          <w:marLeft w:val="0"/>
          <w:marRight w:val="0"/>
          <w:marTop w:val="0"/>
          <w:marBottom w:val="0"/>
          <w:divBdr>
            <w:top w:val="none" w:sz="0" w:space="0" w:color="auto"/>
            <w:left w:val="none" w:sz="0" w:space="0" w:color="auto"/>
            <w:bottom w:val="none" w:sz="0" w:space="0" w:color="auto"/>
            <w:right w:val="none" w:sz="0" w:space="0" w:color="auto"/>
          </w:divBdr>
        </w:div>
        <w:div w:id="2040929674">
          <w:marLeft w:val="0"/>
          <w:marRight w:val="0"/>
          <w:marTop w:val="0"/>
          <w:marBottom w:val="0"/>
          <w:divBdr>
            <w:top w:val="none" w:sz="0" w:space="0" w:color="auto"/>
            <w:left w:val="none" w:sz="0" w:space="0" w:color="auto"/>
            <w:bottom w:val="none" w:sz="0" w:space="0" w:color="auto"/>
            <w:right w:val="none" w:sz="0" w:space="0" w:color="auto"/>
          </w:divBdr>
        </w:div>
        <w:div w:id="1172791330">
          <w:marLeft w:val="0"/>
          <w:marRight w:val="0"/>
          <w:marTop w:val="0"/>
          <w:marBottom w:val="0"/>
          <w:divBdr>
            <w:top w:val="none" w:sz="0" w:space="0" w:color="auto"/>
            <w:left w:val="none" w:sz="0" w:space="0" w:color="auto"/>
            <w:bottom w:val="none" w:sz="0" w:space="0" w:color="auto"/>
            <w:right w:val="none" w:sz="0" w:space="0" w:color="auto"/>
          </w:divBdr>
        </w:div>
        <w:div w:id="740493489">
          <w:marLeft w:val="0"/>
          <w:marRight w:val="0"/>
          <w:marTop w:val="0"/>
          <w:marBottom w:val="0"/>
          <w:divBdr>
            <w:top w:val="none" w:sz="0" w:space="0" w:color="auto"/>
            <w:left w:val="none" w:sz="0" w:space="0" w:color="auto"/>
            <w:bottom w:val="none" w:sz="0" w:space="0" w:color="auto"/>
            <w:right w:val="none" w:sz="0" w:space="0" w:color="auto"/>
          </w:divBdr>
        </w:div>
        <w:div w:id="2027171566">
          <w:marLeft w:val="0"/>
          <w:marRight w:val="0"/>
          <w:marTop w:val="0"/>
          <w:marBottom w:val="0"/>
          <w:divBdr>
            <w:top w:val="none" w:sz="0" w:space="0" w:color="auto"/>
            <w:left w:val="none" w:sz="0" w:space="0" w:color="auto"/>
            <w:bottom w:val="none" w:sz="0" w:space="0" w:color="auto"/>
            <w:right w:val="none" w:sz="0" w:space="0" w:color="auto"/>
          </w:divBdr>
        </w:div>
        <w:div w:id="2139490937">
          <w:marLeft w:val="0"/>
          <w:marRight w:val="0"/>
          <w:marTop w:val="0"/>
          <w:marBottom w:val="0"/>
          <w:divBdr>
            <w:top w:val="none" w:sz="0" w:space="0" w:color="auto"/>
            <w:left w:val="none" w:sz="0" w:space="0" w:color="auto"/>
            <w:bottom w:val="none" w:sz="0" w:space="0" w:color="auto"/>
            <w:right w:val="none" w:sz="0" w:space="0" w:color="auto"/>
          </w:divBdr>
        </w:div>
        <w:div w:id="1116294986">
          <w:marLeft w:val="0"/>
          <w:marRight w:val="0"/>
          <w:marTop w:val="0"/>
          <w:marBottom w:val="0"/>
          <w:divBdr>
            <w:top w:val="none" w:sz="0" w:space="0" w:color="auto"/>
            <w:left w:val="none" w:sz="0" w:space="0" w:color="auto"/>
            <w:bottom w:val="none" w:sz="0" w:space="0" w:color="auto"/>
            <w:right w:val="none" w:sz="0" w:space="0" w:color="auto"/>
          </w:divBdr>
        </w:div>
        <w:div w:id="1450128919">
          <w:marLeft w:val="0"/>
          <w:marRight w:val="0"/>
          <w:marTop w:val="0"/>
          <w:marBottom w:val="0"/>
          <w:divBdr>
            <w:top w:val="none" w:sz="0" w:space="0" w:color="auto"/>
            <w:left w:val="none" w:sz="0" w:space="0" w:color="auto"/>
            <w:bottom w:val="none" w:sz="0" w:space="0" w:color="auto"/>
            <w:right w:val="none" w:sz="0" w:space="0" w:color="auto"/>
          </w:divBdr>
        </w:div>
        <w:div w:id="802771861">
          <w:marLeft w:val="0"/>
          <w:marRight w:val="0"/>
          <w:marTop w:val="0"/>
          <w:marBottom w:val="0"/>
          <w:divBdr>
            <w:top w:val="none" w:sz="0" w:space="0" w:color="auto"/>
            <w:left w:val="none" w:sz="0" w:space="0" w:color="auto"/>
            <w:bottom w:val="none" w:sz="0" w:space="0" w:color="auto"/>
            <w:right w:val="none" w:sz="0" w:space="0" w:color="auto"/>
          </w:divBdr>
        </w:div>
        <w:div w:id="169414231">
          <w:marLeft w:val="0"/>
          <w:marRight w:val="0"/>
          <w:marTop w:val="0"/>
          <w:marBottom w:val="0"/>
          <w:divBdr>
            <w:top w:val="none" w:sz="0" w:space="0" w:color="auto"/>
            <w:left w:val="none" w:sz="0" w:space="0" w:color="auto"/>
            <w:bottom w:val="none" w:sz="0" w:space="0" w:color="auto"/>
            <w:right w:val="none" w:sz="0" w:space="0" w:color="auto"/>
          </w:divBdr>
        </w:div>
        <w:div w:id="1014457411">
          <w:marLeft w:val="0"/>
          <w:marRight w:val="0"/>
          <w:marTop w:val="0"/>
          <w:marBottom w:val="0"/>
          <w:divBdr>
            <w:top w:val="none" w:sz="0" w:space="0" w:color="auto"/>
            <w:left w:val="none" w:sz="0" w:space="0" w:color="auto"/>
            <w:bottom w:val="none" w:sz="0" w:space="0" w:color="auto"/>
            <w:right w:val="none" w:sz="0" w:space="0" w:color="auto"/>
          </w:divBdr>
        </w:div>
        <w:div w:id="3829101">
          <w:marLeft w:val="0"/>
          <w:marRight w:val="0"/>
          <w:marTop w:val="0"/>
          <w:marBottom w:val="0"/>
          <w:divBdr>
            <w:top w:val="none" w:sz="0" w:space="0" w:color="auto"/>
            <w:left w:val="none" w:sz="0" w:space="0" w:color="auto"/>
            <w:bottom w:val="none" w:sz="0" w:space="0" w:color="auto"/>
            <w:right w:val="none" w:sz="0" w:space="0" w:color="auto"/>
          </w:divBdr>
        </w:div>
        <w:div w:id="79915347">
          <w:marLeft w:val="0"/>
          <w:marRight w:val="0"/>
          <w:marTop w:val="0"/>
          <w:marBottom w:val="0"/>
          <w:divBdr>
            <w:top w:val="none" w:sz="0" w:space="0" w:color="auto"/>
            <w:left w:val="none" w:sz="0" w:space="0" w:color="auto"/>
            <w:bottom w:val="none" w:sz="0" w:space="0" w:color="auto"/>
            <w:right w:val="none" w:sz="0" w:space="0" w:color="auto"/>
          </w:divBdr>
        </w:div>
        <w:div w:id="1056275142">
          <w:marLeft w:val="0"/>
          <w:marRight w:val="0"/>
          <w:marTop w:val="0"/>
          <w:marBottom w:val="0"/>
          <w:divBdr>
            <w:top w:val="none" w:sz="0" w:space="0" w:color="auto"/>
            <w:left w:val="none" w:sz="0" w:space="0" w:color="auto"/>
            <w:bottom w:val="none" w:sz="0" w:space="0" w:color="auto"/>
            <w:right w:val="none" w:sz="0" w:space="0" w:color="auto"/>
          </w:divBdr>
        </w:div>
      </w:divsChild>
    </w:div>
    <w:div w:id="883060071">
      <w:bodyDiv w:val="1"/>
      <w:marLeft w:val="0"/>
      <w:marRight w:val="0"/>
      <w:marTop w:val="0"/>
      <w:marBottom w:val="0"/>
      <w:divBdr>
        <w:top w:val="none" w:sz="0" w:space="0" w:color="auto"/>
        <w:left w:val="none" w:sz="0" w:space="0" w:color="auto"/>
        <w:bottom w:val="none" w:sz="0" w:space="0" w:color="auto"/>
        <w:right w:val="none" w:sz="0" w:space="0" w:color="auto"/>
      </w:divBdr>
    </w:div>
    <w:div w:id="989820465">
      <w:bodyDiv w:val="1"/>
      <w:marLeft w:val="0"/>
      <w:marRight w:val="0"/>
      <w:marTop w:val="0"/>
      <w:marBottom w:val="0"/>
      <w:divBdr>
        <w:top w:val="none" w:sz="0" w:space="0" w:color="auto"/>
        <w:left w:val="none" w:sz="0" w:space="0" w:color="auto"/>
        <w:bottom w:val="none" w:sz="0" w:space="0" w:color="auto"/>
        <w:right w:val="none" w:sz="0" w:space="0" w:color="auto"/>
      </w:divBdr>
    </w:div>
    <w:div w:id="1011952832">
      <w:bodyDiv w:val="1"/>
      <w:marLeft w:val="0"/>
      <w:marRight w:val="0"/>
      <w:marTop w:val="0"/>
      <w:marBottom w:val="0"/>
      <w:divBdr>
        <w:top w:val="none" w:sz="0" w:space="0" w:color="auto"/>
        <w:left w:val="none" w:sz="0" w:space="0" w:color="auto"/>
        <w:bottom w:val="none" w:sz="0" w:space="0" w:color="auto"/>
        <w:right w:val="none" w:sz="0" w:space="0" w:color="auto"/>
      </w:divBdr>
      <w:divsChild>
        <w:div w:id="1163354752">
          <w:marLeft w:val="0"/>
          <w:marRight w:val="0"/>
          <w:marTop w:val="0"/>
          <w:marBottom w:val="0"/>
          <w:divBdr>
            <w:top w:val="none" w:sz="0" w:space="0" w:color="auto"/>
            <w:left w:val="none" w:sz="0" w:space="0" w:color="auto"/>
            <w:bottom w:val="none" w:sz="0" w:space="0" w:color="auto"/>
            <w:right w:val="none" w:sz="0" w:space="0" w:color="auto"/>
          </w:divBdr>
        </w:div>
        <w:div w:id="2046825828">
          <w:marLeft w:val="0"/>
          <w:marRight w:val="0"/>
          <w:marTop w:val="0"/>
          <w:marBottom w:val="0"/>
          <w:divBdr>
            <w:top w:val="none" w:sz="0" w:space="0" w:color="auto"/>
            <w:left w:val="none" w:sz="0" w:space="0" w:color="auto"/>
            <w:bottom w:val="none" w:sz="0" w:space="0" w:color="auto"/>
            <w:right w:val="none" w:sz="0" w:space="0" w:color="auto"/>
          </w:divBdr>
        </w:div>
        <w:div w:id="625966904">
          <w:marLeft w:val="0"/>
          <w:marRight w:val="0"/>
          <w:marTop w:val="0"/>
          <w:marBottom w:val="0"/>
          <w:divBdr>
            <w:top w:val="none" w:sz="0" w:space="0" w:color="auto"/>
            <w:left w:val="none" w:sz="0" w:space="0" w:color="auto"/>
            <w:bottom w:val="none" w:sz="0" w:space="0" w:color="auto"/>
            <w:right w:val="none" w:sz="0" w:space="0" w:color="auto"/>
          </w:divBdr>
        </w:div>
        <w:div w:id="828717834">
          <w:marLeft w:val="0"/>
          <w:marRight w:val="0"/>
          <w:marTop w:val="0"/>
          <w:marBottom w:val="0"/>
          <w:divBdr>
            <w:top w:val="none" w:sz="0" w:space="0" w:color="auto"/>
            <w:left w:val="none" w:sz="0" w:space="0" w:color="auto"/>
            <w:bottom w:val="none" w:sz="0" w:space="0" w:color="auto"/>
            <w:right w:val="none" w:sz="0" w:space="0" w:color="auto"/>
          </w:divBdr>
        </w:div>
        <w:div w:id="238558508">
          <w:marLeft w:val="0"/>
          <w:marRight w:val="0"/>
          <w:marTop w:val="0"/>
          <w:marBottom w:val="0"/>
          <w:divBdr>
            <w:top w:val="none" w:sz="0" w:space="0" w:color="auto"/>
            <w:left w:val="none" w:sz="0" w:space="0" w:color="auto"/>
            <w:bottom w:val="none" w:sz="0" w:space="0" w:color="auto"/>
            <w:right w:val="none" w:sz="0" w:space="0" w:color="auto"/>
          </w:divBdr>
        </w:div>
      </w:divsChild>
    </w:div>
    <w:div w:id="1097869826">
      <w:bodyDiv w:val="1"/>
      <w:marLeft w:val="0"/>
      <w:marRight w:val="0"/>
      <w:marTop w:val="0"/>
      <w:marBottom w:val="0"/>
      <w:divBdr>
        <w:top w:val="none" w:sz="0" w:space="0" w:color="auto"/>
        <w:left w:val="none" w:sz="0" w:space="0" w:color="auto"/>
        <w:bottom w:val="none" w:sz="0" w:space="0" w:color="auto"/>
        <w:right w:val="none" w:sz="0" w:space="0" w:color="auto"/>
      </w:divBdr>
      <w:divsChild>
        <w:div w:id="295259680">
          <w:marLeft w:val="0"/>
          <w:marRight w:val="0"/>
          <w:marTop w:val="0"/>
          <w:marBottom w:val="0"/>
          <w:divBdr>
            <w:top w:val="none" w:sz="0" w:space="0" w:color="auto"/>
            <w:left w:val="none" w:sz="0" w:space="0" w:color="auto"/>
            <w:bottom w:val="none" w:sz="0" w:space="0" w:color="auto"/>
            <w:right w:val="none" w:sz="0" w:space="0" w:color="auto"/>
          </w:divBdr>
        </w:div>
        <w:div w:id="1016469078">
          <w:marLeft w:val="0"/>
          <w:marRight w:val="0"/>
          <w:marTop w:val="0"/>
          <w:marBottom w:val="0"/>
          <w:divBdr>
            <w:top w:val="none" w:sz="0" w:space="0" w:color="auto"/>
            <w:left w:val="none" w:sz="0" w:space="0" w:color="auto"/>
            <w:bottom w:val="none" w:sz="0" w:space="0" w:color="auto"/>
            <w:right w:val="none" w:sz="0" w:space="0" w:color="auto"/>
          </w:divBdr>
        </w:div>
        <w:div w:id="1641574180">
          <w:marLeft w:val="0"/>
          <w:marRight w:val="0"/>
          <w:marTop w:val="0"/>
          <w:marBottom w:val="0"/>
          <w:divBdr>
            <w:top w:val="none" w:sz="0" w:space="0" w:color="auto"/>
            <w:left w:val="none" w:sz="0" w:space="0" w:color="auto"/>
            <w:bottom w:val="none" w:sz="0" w:space="0" w:color="auto"/>
            <w:right w:val="none" w:sz="0" w:space="0" w:color="auto"/>
          </w:divBdr>
        </w:div>
        <w:div w:id="1333332948">
          <w:marLeft w:val="0"/>
          <w:marRight w:val="0"/>
          <w:marTop w:val="0"/>
          <w:marBottom w:val="0"/>
          <w:divBdr>
            <w:top w:val="none" w:sz="0" w:space="0" w:color="auto"/>
            <w:left w:val="none" w:sz="0" w:space="0" w:color="auto"/>
            <w:bottom w:val="none" w:sz="0" w:space="0" w:color="auto"/>
            <w:right w:val="none" w:sz="0" w:space="0" w:color="auto"/>
          </w:divBdr>
        </w:div>
        <w:div w:id="1445466154">
          <w:marLeft w:val="0"/>
          <w:marRight w:val="0"/>
          <w:marTop w:val="0"/>
          <w:marBottom w:val="0"/>
          <w:divBdr>
            <w:top w:val="none" w:sz="0" w:space="0" w:color="auto"/>
            <w:left w:val="none" w:sz="0" w:space="0" w:color="auto"/>
            <w:bottom w:val="none" w:sz="0" w:space="0" w:color="auto"/>
            <w:right w:val="none" w:sz="0" w:space="0" w:color="auto"/>
          </w:divBdr>
        </w:div>
        <w:div w:id="710035413">
          <w:marLeft w:val="0"/>
          <w:marRight w:val="0"/>
          <w:marTop w:val="0"/>
          <w:marBottom w:val="0"/>
          <w:divBdr>
            <w:top w:val="none" w:sz="0" w:space="0" w:color="auto"/>
            <w:left w:val="none" w:sz="0" w:space="0" w:color="auto"/>
            <w:bottom w:val="none" w:sz="0" w:space="0" w:color="auto"/>
            <w:right w:val="none" w:sz="0" w:space="0" w:color="auto"/>
          </w:divBdr>
        </w:div>
      </w:divsChild>
    </w:div>
    <w:div w:id="1212958707">
      <w:bodyDiv w:val="1"/>
      <w:marLeft w:val="0"/>
      <w:marRight w:val="0"/>
      <w:marTop w:val="0"/>
      <w:marBottom w:val="0"/>
      <w:divBdr>
        <w:top w:val="none" w:sz="0" w:space="0" w:color="auto"/>
        <w:left w:val="none" w:sz="0" w:space="0" w:color="auto"/>
        <w:bottom w:val="none" w:sz="0" w:space="0" w:color="auto"/>
        <w:right w:val="none" w:sz="0" w:space="0" w:color="auto"/>
      </w:divBdr>
      <w:divsChild>
        <w:div w:id="1962569082">
          <w:marLeft w:val="0"/>
          <w:marRight w:val="0"/>
          <w:marTop w:val="0"/>
          <w:marBottom w:val="0"/>
          <w:divBdr>
            <w:top w:val="none" w:sz="0" w:space="0" w:color="auto"/>
            <w:left w:val="none" w:sz="0" w:space="0" w:color="auto"/>
            <w:bottom w:val="none" w:sz="0" w:space="0" w:color="auto"/>
            <w:right w:val="none" w:sz="0" w:space="0" w:color="auto"/>
          </w:divBdr>
        </w:div>
        <w:div w:id="124204303">
          <w:marLeft w:val="0"/>
          <w:marRight w:val="0"/>
          <w:marTop w:val="0"/>
          <w:marBottom w:val="0"/>
          <w:divBdr>
            <w:top w:val="none" w:sz="0" w:space="0" w:color="auto"/>
            <w:left w:val="none" w:sz="0" w:space="0" w:color="auto"/>
            <w:bottom w:val="none" w:sz="0" w:space="0" w:color="auto"/>
            <w:right w:val="none" w:sz="0" w:space="0" w:color="auto"/>
          </w:divBdr>
        </w:div>
        <w:div w:id="288358724">
          <w:marLeft w:val="0"/>
          <w:marRight w:val="0"/>
          <w:marTop w:val="0"/>
          <w:marBottom w:val="0"/>
          <w:divBdr>
            <w:top w:val="none" w:sz="0" w:space="0" w:color="auto"/>
            <w:left w:val="none" w:sz="0" w:space="0" w:color="auto"/>
            <w:bottom w:val="none" w:sz="0" w:space="0" w:color="auto"/>
            <w:right w:val="none" w:sz="0" w:space="0" w:color="auto"/>
          </w:divBdr>
        </w:div>
        <w:div w:id="532884583">
          <w:marLeft w:val="0"/>
          <w:marRight w:val="0"/>
          <w:marTop w:val="0"/>
          <w:marBottom w:val="0"/>
          <w:divBdr>
            <w:top w:val="none" w:sz="0" w:space="0" w:color="auto"/>
            <w:left w:val="none" w:sz="0" w:space="0" w:color="auto"/>
            <w:bottom w:val="none" w:sz="0" w:space="0" w:color="auto"/>
            <w:right w:val="none" w:sz="0" w:space="0" w:color="auto"/>
          </w:divBdr>
        </w:div>
        <w:div w:id="1941447357">
          <w:marLeft w:val="0"/>
          <w:marRight w:val="0"/>
          <w:marTop w:val="0"/>
          <w:marBottom w:val="0"/>
          <w:divBdr>
            <w:top w:val="none" w:sz="0" w:space="0" w:color="auto"/>
            <w:left w:val="none" w:sz="0" w:space="0" w:color="auto"/>
            <w:bottom w:val="none" w:sz="0" w:space="0" w:color="auto"/>
            <w:right w:val="none" w:sz="0" w:space="0" w:color="auto"/>
          </w:divBdr>
        </w:div>
      </w:divsChild>
    </w:div>
    <w:div w:id="1250773852">
      <w:bodyDiv w:val="1"/>
      <w:marLeft w:val="0"/>
      <w:marRight w:val="0"/>
      <w:marTop w:val="0"/>
      <w:marBottom w:val="0"/>
      <w:divBdr>
        <w:top w:val="none" w:sz="0" w:space="0" w:color="auto"/>
        <w:left w:val="none" w:sz="0" w:space="0" w:color="auto"/>
        <w:bottom w:val="none" w:sz="0" w:space="0" w:color="auto"/>
        <w:right w:val="none" w:sz="0" w:space="0" w:color="auto"/>
      </w:divBdr>
      <w:divsChild>
        <w:div w:id="1123965053">
          <w:marLeft w:val="0"/>
          <w:marRight w:val="0"/>
          <w:marTop w:val="0"/>
          <w:marBottom w:val="0"/>
          <w:divBdr>
            <w:top w:val="none" w:sz="0" w:space="0" w:color="auto"/>
            <w:left w:val="none" w:sz="0" w:space="0" w:color="auto"/>
            <w:bottom w:val="none" w:sz="0" w:space="0" w:color="auto"/>
            <w:right w:val="none" w:sz="0" w:space="0" w:color="auto"/>
          </w:divBdr>
          <w:divsChild>
            <w:div w:id="1440644970">
              <w:marLeft w:val="0"/>
              <w:marRight w:val="0"/>
              <w:marTop w:val="0"/>
              <w:marBottom w:val="0"/>
              <w:divBdr>
                <w:top w:val="none" w:sz="0" w:space="0" w:color="auto"/>
                <w:left w:val="none" w:sz="0" w:space="0" w:color="auto"/>
                <w:bottom w:val="none" w:sz="0" w:space="0" w:color="auto"/>
                <w:right w:val="none" w:sz="0" w:space="0" w:color="auto"/>
              </w:divBdr>
              <w:divsChild>
                <w:div w:id="1154292778">
                  <w:marLeft w:val="0"/>
                  <w:marRight w:val="0"/>
                  <w:marTop w:val="0"/>
                  <w:marBottom w:val="0"/>
                  <w:divBdr>
                    <w:top w:val="none" w:sz="0" w:space="0" w:color="auto"/>
                    <w:left w:val="none" w:sz="0" w:space="0" w:color="auto"/>
                    <w:bottom w:val="none" w:sz="0" w:space="0" w:color="auto"/>
                    <w:right w:val="none" w:sz="0" w:space="0" w:color="auto"/>
                  </w:divBdr>
                </w:div>
                <w:div w:id="21202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45">
          <w:marLeft w:val="0"/>
          <w:marRight w:val="0"/>
          <w:marTop w:val="0"/>
          <w:marBottom w:val="0"/>
          <w:divBdr>
            <w:top w:val="none" w:sz="0" w:space="0" w:color="auto"/>
            <w:left w:val="none" w:sz="0" w:space="0" w:color="auto"/>
            <w:bottom w:val="none" w:sz="0" w:space="0" w:color="auto"/>
            <w:right w:val="none" w:sz="0" w:space="0" w:color="auto"/>
          </w:divBdr>
          <w:divsChild>
            <w:div w:id="251748134">
              <w:marLeft w:val="0"/>
              <w:marRight w:val="0"/>
              <w:marTop w:val="0"/>
              <w:marBottom w:val="0"/>
              <w:divBdr>
                <w:top w:val="none" w:sz="0" w:space="0" w:color="auto"/>
                <w:left w:val="none" w:sz="0" w:space="0" w:color="auto"/>
                <w:bottom w:val="none" w:sz="0" w:space="0" w:color="auto"/>
                <w:right w:val="none" w:sz="0" w:space="0" w:color="auto"/>
              </w:divBdr>
              <w:divsChild>
                <w:div w:id="1260025406">
                  <w:marLeft w:val="0"/>
                  <w:marRight w:val="0"/>
                  <w:marTop w:val="0"/>
                  <w:marBottom w:val="0"/>
                  <w:divBdr>
                    <w:top w:val="none" w:sz="0" w:space="0" w:color="auto"/>
                    <w:left w:val="none" w:sz="0" w:space="0" w:color="auto"/>
                    <w:bottom w:val="none" w:sz="0" w:space="0" w:color="auto"/>
                    <w:right w:val="none" w:sz="0" w:space="0" w:color="auto"/>
                  </w:divBdr>
                </w:div>
                <w:div w:id="1700400280">
                  <w:marLeft w:val="0"/>
                  <w:marRight w:val="0"/>
                  <w:marTop w:val="0"/>
                  <w:marBottom w:val="0"/>
                  <w:divBdr>
                    <w:top w:val="none" w:sz="0" w:space="0" w:color="auto"/>
                    <w:left w:val="none" w:sz="0" w:space="0" w:color="auto"/>
                    <w:bottom w:val="none" w:sz="0" w:space="0" w:color="auto"/>
                    <w:right w:val="none" w:sz="0" w:space="0" w:color="auto"/>
                  </w:divBdr>
                </w:div>
                <w:div w:id="1047145368">
                  <w:marLeft w:val="0"/>
                  <w:marRight w:val="0"/>
                  <w:marTop w:val="0"/>
                  <w:marBottom w:val="0"/>
                  <w:divBdr>
                    <w:top w:val="none" w:sz="0" w:space="0" w:color="auto"/>
                    <w:left w:val="none" w:sz="0" w:space="0" w:color="auto"/>
                    <w:bottom w:val="none" w:sz="0" w:space="0" w:color="auto"/>
                    <w:right w:val="none" w:sz="0" w:space="0" w:color="auto"/>
                  </w:divBdr>
                </w:div>
                <w:div w:id="20560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102116566">
          <w:marLeft w:val="0"/>
          <w:marRight w:val="0"/>
          <w:marTop w:val="0"/>
          <w:marBottom w:val="0"/>
          <w:divBdr>
            <w:top w:val="none" w:sz="0" w:space="0" w:color="auto"/>
            <w:left w:val="none" w:sz="0" w:space="0" w:color="auto"/>
            <w:bottom w:val="none" w:sz="0" w:space="0" w:color="auto"/>
            <w:right w:val="none" w:sz="0" w:space="0" w:color="auto"/>
          </w:divBdr>
        </w:div>
        <w:div w:id="741829118">
          <w:marLeft w:val="0"/>
          <w:marRight w:val="0"/>
          <w:marTop w:val="0"/>
          <w:marBottom w:val="0"/>
          <w:divBdr>
            <w:top w:val="none" w:sz="0" w:space="0" w:color="auto"/>
            <w:left w:val="none" w:sz="0" w:space="0" w:color="auto"/>
            <w:bottom w:val="none" w:sz="0" w:space="0" w:color="auto"/>
            <w:right w:val="none" w:sz="0" w:space="0" w:color="auto"/>
          </w:divBdr>
        </w:div>
        <w:div w:id="1314063162">
          <w:marLeft w:val="0"/>
          <w:marRight w:val="0"/>
          <w:marTop w:val="0"/>
          <w:marBottom w:val="0"/>
          <w:divBdr>
            <w:top w:val="none" w:sz="0" w:space="0" w:color="auto"/>
            <w:left w:val="none" w:sz="0" w:space="0" w:color="auto"/>
            <w:bottom w:val="none" w:sz="0" w:space="0" w:color="auto"/>
            <w:right w:val="none" w:sz="0" w:space="0" w:color="auto"/>
          </w:divBdr>
        </w:div>
      </w:divsChild>
    </w:div>
    <w:div w:id="1638946488">
      <w:bodyDiv w:val="1"/>
      <w:marLeft w:val="0"/>
      <w:marRight w:val="0"/>
      <w:marTop w:val="0"/>
      <w:marBottom w:val="0"/>
      <w:divBdr>
        <w:top w:val="none" w:sz="0" w:space="0" w:color="auto"/>
        <w:left w:val="none" w:sz="0" w:space="0" w:color="auto"/>
        <w:bottom w:val="none" w:sz="0" w:space="0" w:color="auto"/>
        <w:right w:val="none" w:sz="0" w:space="0" w:color="auto"/>
      </w:divBdr>
      <w:divsChild>
        <w:div w:id="71046934">
          <w:marLeft w:val="0"/>
          <w:marRight w:val="0"/>
          <w:marTop w:val="0"/>
          <w:marBottom w:val="0"/>
          <w:divBdr>
            <w:top w:val="none" w:sz="0" w:space="0" w:color="auto"/>
            <w:left w:val="none" w:sz="0" w:space="0" w:color="auto"/>
            <w:bottom w:val="none" w:sz="0" w:space="0" w:color="auto"/>
            <w:right w:val="none" w:sz="0" w:space="0" w:color="auto"/>
          </w:divBdr>
        </w:div>
        <w:div w:id="1143808719">
          <w:marLeft w:val="0"/>
          <w:marRight w:val="0"/>
          <w:marTop w:val="0"/>
          <w:marBottom w:val="0"/>
          <w:divBdr>
            <w:top w:val="none" w:sz="0" w:space="0" w:color="auto"/>
            <w:left w:val="none" w:sz="0" w:space="0" w:color="auto"/>
            <w:bottom w:val="none" w:sz="0" w:space="0" w:color="auto"/>
            <w:right w:val="none" w:sz="0" w:space="0" w:color="auto"/>
          </w:divBdr>
        </w:div>
        <w:div w:id="68386704">
          <w:marLeft w:val="0"/>
          <w:marRight w:val="0"/>
          <w:marTop w:val="0"/>
          <w:marBottom w:val="0"/>
          <w:divBdr>
            <w:top w:val="none" w:sz="0" w:space="0" w:color="auto"/>
            <w:left w:val="none" w:sz="0" w:space="0" w:color="auto"/>
            <w:bottom w:val="none" w:sz="0" w:space="0" w:color="auto"/>
            <w:right w:val="none" w:sz="0" w:space="0" w:color="auto"/>
          </w:divBdr>
        </w:div>
        <w:div w:id="1653636324">
          <w:marLeft w:val="0"/>
          <w:marRight w:val="0"/>
          <w:marTop w:val="0"/>
          <w:marBottom w:val="0"/>
          <w:divBdr>
            <w:top w:val="none" w:sz="0" w:space="0" w:color="auto"/>
            <w:left w:val="none" w:sz="0" w:space="0" w:color="auto"/>
            <w:bottom w:val="none" w:sz="0" w:space="0" w:color="auto"/>
            <w:right w:val="none" w:sz="0" w:space="0" w:color="auto"/>
          </w:divBdr>
        </w:div>
        <w:div w:id="1433085313">
          <w:marLeft w:val="0"/>
          <w:marRight w:val="0"/>
          <w:marTop w:val="0"/>
          <w:marBottom w:val="0"/>
          <w:divBdr>
            <w:top w:val="none" w:sz="0" w:space="0" w:color="auto"/>
            <w:left w:val="none" w:sz="0" w:space="0" w:color="auto"/>
            <w:bottom w:val="none" w:sz="0" w:space="0" w:color="auto"/>
            <w:right w:val="none" w:sz="0" w:space="0" w:color="auto"/>
          </w:divBdr>
        </w:div>
      </w:divsChild>
    </w:div>
    <w:div w:id="1687488304">
      <w:bodyDiv w:val="1"/>
      <w:marLeft w:val="0"/>
      <w:marRight w:val="0"/>
      <w:marTop w:val="0"/>
      <w:marBottom w:val="0"/>
      <w:divBdr>
        <w:top w:val="none" w:sz="0" w:space="0" w:color="auto"/>
        <w:left w:val="none" w:sz="0" w:space="0" w:color="auto"/>
        <w:bottom w:val="none" w:sz="0" w:space="0" w:color="auto"/>
        <w:right w:val="none" w:sz="0" w:space="0" w:color="auto"/>
      </w:divBdr>
      <w:divsChild>
        <w:div w:id="348482809">
          <w:marLeft w:val="0"/>
          <w:marRight w:val="0"/>
          <w:marTop w:val="0"/>
          <w:marBottom w:val="0"/>
          <w:divBdr>
            <w:top w:val="none" w:sz="0" w:space="0" w:color="auto"/>
            <w:left w:val="none" w:sz="0" w:space="0" w:color="auto"/>
            <w:bottom w:val="none" w:sz="0" w:space="0" w:color="auto"/>
            <w:right w:val="none" w:sz="0" w:space="0" w:color="auto"/>
          </w:divBdr>
        </w:div>
        <w:div w:id="1209535345">
          <w:marLeft w:val="0"/>
          <w:marRight w:val="0"/>
          <w:marTop w:val="0"/>
          <w:marBottom w:val="0"/>
          <w:divBdr>
            <w:top w:val="none" w:sz="0" w:space="0" w:color="auto"/>
            <w:left w:val="none" w:sz="0" w:space="0" w:color="auto"/>
            <w:bottom w:val="none" w:sz="0" w:space="0" w:color="auto"/>
            <w:right w:val="none" w:sz="0" w:space="0" w:color="auto"/>
          </w:divBdr>
        </w:div>
        <w:div w:id="49812954">
          <w:marLeft w:val="0"/>
          <w:marRight w:val="0"/>
          <w:marTop w:val="0"/>
          <w:marBottom w:val="0"/>
          <w:divBdr>
            <w:top w:val="none" w:sz="0" w:space="0" w:color="auto"/>
            <w:left w:val="none" w:sz="0" w:space="0" w:color="auto"/>
            <w:bottom w:val="none" w:sz="0" w:space="0" w:color="auto"/>
            <w:right w:val="none" w:sz="0" w:space="0" w:color="auto"/>
          </w:divBdr>
        </w:div>
        <w:div w:id="1589848867">
          <w:marLeft w:val="0"/>
          <w:marRight w:val="0"/>
          <w:marTop w:val="0"/>
          <w:marBottom w:val="0"/>
          <w:divBdr>
            <w:top w:val="none" w:sz="0" w:space="0" w:color="auto"/>
            <w:left w:val="none" w:sz="0" w:space="0" w:color="auto"/>
            <w:bottom w:val="none" w:sz="0" w:space="0" w:color="auto"/>
            <w:right w:val="none" w:sz="0" w:space="0" w:color="auto"/>
          </w:divBdr>
        </w:div>
      </w:divsChild>
    </w:div>
    <w:div w:id="1701934649">
      <w:bodyDiv w:val="1"/>
      <w:marLeft w:val="0"/>
      <w:marRight w:val="0"/>
      <w:marTop w:val="0"/>
      <w:marBottom w:val="0"/>
      <w:divBdr>
        <w:top w:val="none" w:sz="0" w:space="0" w:color="auto"/>
        <w:left w:val="none" w:sz="0" w:space="0" w:color="auto"/>
        <w:bottom w:val="none" w:sz="0" w:space="0" w:color="auto"/>
        <w:right w:val="none" w:sz="0" w:space="0" w:color="auto"/>
      </w:divBdr>
    </w:div>
    <w:div w:id="1861813072">
      <w:bodyDiv w:val="1"/>
      <w:marLeft w:val="0"/>
      <w:marRight w:val="0"/>
      <w:marTop w:val="0"/>
      <w:marBottom w:val="0"/>
      <w:divBdr>
        <w:top w:val="none" w:sz="0" w:space="0" w:color="auto"/>
        <w:left w:val="none" w:sz="0" w:space="0" w:color="auto"/>
        <w:bottom w:val="none" w:sz="0" w:space="0" w:color="auto"/>
        <w:right w:val="none" w:sz="0" w:space="0" w:color="auto"/>
      </w:divBdr>
      <w:divsChild>
        <w:div w:id="679743597">
          <w:marLeft w:val="0"/>
          <w:marRight w:val="0"/>
          <w:marTop w:val="0"/>
          <w:marBottom w:val="0"/>
          <w:divBdr>
            <w:top w:val="none" w:sz="0" w:space="0" w:color="auto"/>
            <w:left w:val="none" w:sz="0" w:space="0" w:color="auto"/>
            <w:bottom w:val="none" w:sz="0" w:space="0" w:color="auto"/>
            <w:right w:val="none" w:sz="0" w:space="0" w:color="auto"/>
          </w:divBdr>
          <w:divsChild>
            <w:div w:id="359165414">
              <w:marLeft w:val="0"/>
              <w:marRight w:val="0"/>
              <w:marTop w:val="0"/>
              <w:marBottom w:val="0"/>
              <w:divBdr>
                <w:top w:val="none" w:sz="0" w:space="0" w:color="auto"/>
                <w:left w:val="none" w:sz="0" w:space="0" w:color="auto"/>
                <w:bottom w:val="none" w:sz="0" w:space="0" w:color="auto"/>
                <w:right w:val="none" w:sz="0" w:space="0" w:color="auto"/>
              </w:divBdr>
              <w:divsChild>
                <w:div w:id="458718198">
                  <w:marLeft w:val="0"/>
                  <w:marRight w:val="0"/>
                  <w:marTop w:val="0"/>
                  <w:marBottom w:val="0"/>
                  <w:divBdr>
                    <w:top w:val="none" w:sz="0" w:space="0" w:color="auto"/>
                    <w:left w:val="none" w:sz="0" w:space="0" w:color="auto"/>
                    <w:bottom w:val="none" w:sz="0" w:space="0" w:color="auto"/>
                    <w:right w:val="none" w:sz="0" w:space="0" w:color="auto"/>
                  </w:divBdr>
                </w:div>
                <w:div w:id="1127552021">
                  <w:marLeft w:val="0"/>
                  <w:marRight w:val="0"/>
                  <w:marTop w:val="0"/>
                  <w:marBottom w:val="0"/>
                  <w:divBdr>
                    <w:top w:val="none" w:sz="0" w:space="0" w:color="auto"/>
                    <w:left w:val="none" w:sz="0" w:space="0" w:color="auto"/>
                    <w:bottom w:val="none" w:sz="0" w:space="0" w:color="auto"/>
                    <w:right w:val="none" w:sz="0" w:space="0" w:color="auto"/>
                  </w:divBdr>
                </w:div>
                <w:div w:id="17033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1307">
          <w:marLeft w:val="0"/>
          <w:marRight w:val="0"/>
          <w:marTop w:val="0"/>
          <w:marBottom w:val="0"/>
          <w:divBdr>
            <w:top w:val="none" w:sz="0" w:space="0" w:color="auto"/>
            <w:left w:val="none" w:sz="0" w:space="0" w:color="auto"/>
            <w:bottom w:val="none" w:sz="0" w:space="0" w:color="auto"/>
            <w:right w:val="none" w:sz="0" w:space="0" w:color="auto"/>
          </w:divBdr>
          <w:divsChild>
            <w:div w:id="149030734">
              <w:marLeft w:val="0"/>
              <w:marRight w:val="0"/>
              <w:marTop w:val="0"/>
              <w:marBottom w:val="0"/>
              <w:divBdr>
                <w:top w:val="none" w:sz="0" w:space="0" w:color="auto"/>
                <w:left w:val="none" w:sz="0" w:space="0" w:color="auto"/>
                <w:bottom w:val="none" w:sz="0" w:space="0" w:color="auto"/>
                <w:right w:val="none" w:sz="0" w:space="0" w:color="auto"/>
              </w:divBdr>
              <w:divsChild>
                <w:div w:id="644746151">
                  <w:marLeft w:val="0"/>
                  <w:marRight w:val="0"/>
                  <w:marTop w:val="0"/>
                  <w:marBottom w:val="0"/>
                  <w:divBdr>
                    <w:top w:val="none" w:sz="0" w:space="0" w:color="auto"/>
                    <w:left w:val="none" w:sz="0" w:space="0" w:color="auto"/>
                    <w:bottom w:val="none" w:sz="0" w:space="0" w:color="auto"/>
                    <w:right w:val="none" w:sz="0" w:space="0" w:color="auto"/>
                  </w:divBdr>
                </w:div>
                <w:div w:id="3107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3346">
      <w:bodyDiv w:val="1"/>
      <w:marLeft w:val="0"/>
      <w:marRight w:val="0"/>
      <w:marTop w:val="0"/>
      <w:marBottom w:val="0"/>
      <w:divBdr>
        <w:top w:val="none" w:sz="0" w:space="0" w:color="auto"/>
        <w:left w:val="none" w:sz="0" w:space="0" w:color="auto"/>
        <w:bottom w:val="none" w:sz="0" w:space="0" w:color="auto"/>
        <w:right w:val="none" w:sz="0" w:space="0" w:color="auto"/>
      </w:divBdr>
    </w:div>
    <w:div w:id="1943100464">
      <w:bodyDiv w:val="1"/>
      <w:marLeft w:val="0"/>
      <w:marRight w:val="0"/>
      <w:marTop w:val="0"/>
      <w:marBottom w:val="0"/>
      <w:divBdr>
        <w:top w:val="none" w:sz="0" w:space="0" w:color="auto"/>
        <w:left w:val="none" w:sz="0" w:space="0" w:color="auto"/>
        <w:bottom w:val="none" w:sz="0" w:space="0" w:color="auto"/>
        <w:right w:val="none" w:sz="0" w:space="0" w:color="auto"/>
      </w:divBdr>
      <w:divsChild>
        <w:div w:id="841118532">
          <w:marLeft w:val="0"/>
          <w:marRight w:val="0"/>
          <w:marTop w:val="0"/>
          <w:marBottom w:val="0"/>
          <w:divBdr>
            <w:top w:val="none" w:sz="0" w:space="0" w:color="auto"/>
            <w:left w:val="none" w:sz="0" w:space="0" w:color="auto"/>
            <w:bottom w:val="none" w:sz="0" w:space="0" w:color="auto"/>
            <w:right w:val="none" w:sz="0" w:space="0" w:color="auto"/>
          </w:divBdr>
        </w:div>
        <w:div w:id="488403721">
          <w:marLeft w:val="0"/>
          <w:marRight w:val="0"/>
          <w:marTop w:val="0"/>
          <w:marBottom w:val="0"/>
          <w:divBdr>
            <w:top w:val="none" w:sz="0" w:space="0" w:color="auto"/>
            <w:left w:val="none" w:sz="0" w:space="0" w:color="auto"/>
            <w:bottom w:val="none" w:sz="0" w:space="0" w:color="auto"/>
            <w:right w:val="none" w:sz="0" w:space="0" w:color="auto"/>
          </w:divBdr>
        </w:div>
        <w:div w:id="1206287979">
          <w:marLeft w:val="0"/>
          <w:marRight w:val="0"/>
          <w:marTop w:val="0"/>
          <w:marBottom w:val="0"/>
          <w:divBdr>
            <w:top w:val="none" w:sz="0" w:space="0" w:color="auto"/>
            <w:left w:val="none" w:sz="0" w:space="0" w:color="auto"/>
            <w:bottom w:val="none" w:sz="0" w:space="0" w:color="auto"/>
            <w:right w:val="none" w:sz="0" w:space="0" w:color="auto"/>
          </w:divBdr>
        </w:div>
        <w:div w:id="148713255">
          <w:marLeft w:val="0"/>
          <w:marRight w:val="0"/>
          <w:marTop w:val="0"/>
          <w:marBottom w:val="0"/>
          <w:divBdr>
            <w:top w:val="none" w:sz="0" w:space="0" w:color="auto"/>
            <w:left w:val="none" w:sz="0" w:space="0" w:color="auto"/>
            <w:bottom w:val="none" w:sz="0" w:space="0" w:color="auto"/>
            <w:right w:val="none" w:sz="0" w:space="0" w:color="auto"/>
          </w:divBdr>
        </w:div>
        <w:div w:id="1934707999">
          <w:marLeft w:val="0"/>
          <w:marRight w:val="0"/>
          <w:marTop w:val="0"/>
          <w:marBottom w:val="0"/>
          <w:divBdr>
            <w:top w:val="none" w:sz="0" w:space="0" w:color="auto"/>
            <w:left w:val="none" w:sz="0" w:space="0" w:color="auto"/>
            <w:bottom w:val="none" w:sz="0" w:space="0" w:color="auto"/>
            <w:right w:val="none" w:sz="0" w:space="0" w:color="auto"/>
          </w:divBdr>
        </w:div>
        <w:div w:id="11904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2742</TotalTime>
  <Pages>9</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 Josh</dc:creator>
  <cp:lastModifiedBy>Stock, Josh</cp:lastModifiedBy>
  <cp:revision>33</cp:revision>
  <dcterms:created xsi:type="dcterms:W3CDTF">2015-03-24T20:16:00Z</dcterms:created>
  <dcterms:modified xsi:type="dcterms:W3CDTF">2015-03-27T16:01:00Z</dcterms:modified>
</cp:coreProperties>
</file>