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A066" w14:textId="2F68116C" w:rsidR="000F2E80" w:rsidRDefault="009A7EE5" w:rsidP="000F2E80">
      <w:pPr>
        <w:jc w:val="center"/>
        <w:rPr>
          <w:rFonts w:cstheme="minorHAnsi"/>
          <w:b/>
          <w:bCs/>
          <w:sz w:val="28"/>
          <w:szCs w:val="28"/>
        </w:rPr>
      </w:pPr>
      <w:r w:rsidRPr="000F2E80">
        <w:rPr>
          <w:rFonts w:cstheme="minorHAnsi"/>
          <w:b/>
          <w:bCs/>
          <w:sz w:val="28"/>
          <w:szCs w:val="28"/>
        </w:rPr>
        <w:t xml:space="preserve">Protocol for assigning credits for phosphorus and </w:t>
      </w:r>
      <w:r w:rsidR="00B82F58" w:rsidRPr="000F2E80">
        <w:rPr>
          <w:rFonts w:cstheme="minorHAnsi"/>
          <w:b/>
          <w:bCs/>
          <w:sz w:val="28"/>
          <w:szCs w:val="28"/>
        </w:rPr>
        <w:t>total suspended solids (</w:t>
      </w:r>
      <w:r w:rsidRPr="000F2E80">
        <w:rPr>
          <w:rFonts w:cstheme="minorHAnsi"/>
          <w:b/>
          <w:bCs/>
          <w:sz w:val="28"/>
          <w:szCs w:val="28"/>
        </w:rPr>
        <w:t>TSS</w:t>
      </w:r>
      <w:r w:rsidR="00B82F58" w:rsidRPr="000F2E80">
        <w:rPr>
          <w:rFonts w:cstheme="minorHAnsi"/>
          <w:b/>
          <w:bCs/>
          <w:sz w:val="28"/>
          <w:szCs w:val="28"/>
        </w:rPr>
        <w:t>)</w:t>
      </w:r>
      <w:r w:rsidRPr="000F2E80">
        <w:rPr>
          <w:rFonts w:cstheme="minorHAnsi"/>
          <w:b/>
          <w:bCs/>
          <w:sz w:val="28"/>
          <w:szCs w:val="28"/>
        </w:rPr>
        <w:t xml:space="preserve"> for manufactured treatment devices</w:t>
      </w:r>
    </w:p>
    <w:p w14:paraId="46712870" w14:textId="25EF1FFF" w:rsidR="00B700A9" w:rsidRPr="000F2E80" w:rsidRDefault="00B700A9" w:rsidP="000F2E80">
      <w:pPr>
        <w:jc w:val="center"/>
        <w:rPr>
          <w:rFonts w:cstheme="minorHAnsi"/>
          <w:b/>
          <w:bCs/>
          <w:sz w:val="28"/>
          <w:szCs w:val="28"/>
        </w:rPr>
      </w:pPr>
      <w:r>
        <w:rPr>
          <w:rFonts w:cstheme="minorHAnsi"/>
          <w:b/>
          <w:bCs/>
          <w:sz w:val="28"/>
          <w:szCs w:val="28"/>
        </w:rPr>
        <w:t>January 25, 2022</w:t>
      </w:r>
    </w:p>
    <w:p w14:paraId="31ECB651" w14:textId="62A7C829" w:rsidR="008A5E91" w:rsidRPr="008A5E91" w:rsidRDefault="008A5E91" w:rsidP="00B82F58">
      <w:pPr>
        <w:rPr>
          <w:rFonts w:cstheme="minorHAnsi"/>
        </w:rPr>
      </w:pPr>
      <w:r w:rsidRPr="008A5E91">
        <w:rPr>
          <w:rFonts w:cstheme="minorHAnsi"/>
        </w:rPr>
        <w:t xml:space="preserve">This document defines MPCA protocol for determining </w:t>
      </w:r>
      <w:r>
        <w:rPr>
          <w:rFonts w:cstheme="minorHAnsi"/>
        </w:rPr>
        <w:t xml:space="preserve">total suspended solid (TSS) and phosphorus removal credits for </w:t>
      </w:r>
      <w:r>
        <w:rPr>
          <w:rFonts w:cstheme="minorHAnsi"/>
          <w:color w:val="333333"/>
          <w:shd w:val="clear" w:color="auto" w:fill="FFFFFF"/>
        </w:rPr>
        <w:t xml:space="preserve">manufactured treatment devices </w:t>
      </w:r>
      <w:r>
        <w:rPr>
          <w:rFonts w:cstheme="minorHAnsi"/>
        </w:rPr>
        <w:t>(mtds</w:t>
      </w:r>
      <w:r w:rsidR="00DB6155">
        <w:rPr>
          <w:rFonts w:cstheme="minorHAnsi"/>
        </w:rPr>
        <w:t>, also referred to as devices</w:t>
      </w:r>
      <w:r>
        <w:rPr>
          <w:rFonts w:cstheme="minorHAnsi"/>
        </w:rPr>
        <w:t>)</w:t>
      </w:r>
      <w:r>
        <w:rPr>
          <w:rFonts w:cstheme="minorHAnsi"/>
          <w:color w:val="333333"/>
          <w:shd w:val="clear" w:color="auto" w:fill="FFFFFF"/>
        </w:rPr>
        <w:t>.</w:t>
      </w:r>
      <w:r w:rsidR="000B124E">
        <w:rPr>
          <w:rFonts w:cstheme="minorHAnsi"/>
          <w:color w:val="333333"/>
          <w:shd w:val="clear" w:color="auto" w:fill="FFFFFF"/>
        </w:rPr>
        <w:t xml:space="preserve"> See the section </w:t>
      </w:r>
      <w:hyperlink w:anchor="Protocol_for_determining_credits" w:history="1">
        <w:r w:rsidR="000B124E" w:rsidRPr="00FA46E5">
          <w:rPr>
            <w:rStyle w:val="Hyperlink"/>
            <w:rFonts w:cstheme="minorHAnsi"/>
            <w:b/>
            <w:bCs/>
            <w:shd w:val="clear" w:color="auto" w:fill="FFFFFF"/>
          </w:rPr>
          <w:t>Protocol for determining credits</w:t>
        </w:r>
      </w:hyperlink>
      <w:r w:rsidR="000B124E">
        <w:rPr>
          <w:rFonts w:cstheme="minorHAnsi"/>
          <w:color w:val="333333"/>
          <w:shd w:val="clear" w:color="auto" w:fill="FFFFFF"/>
        </w:rPr>
        <w:t xml:space="preserve"> for a description of which devices qualify for credits.</w:t>
      </w:r>
    </w:p>
    <w:p w14:paraId="7024EE7D" w14:textId="77777777" w:rsidR="008A5E91" w:rsidRDefault="008A5E91" w:rsidP="00B82F58">
      <w:pPr>
        <w:rPr>
          <w:rFonts w:cstheme="minorHAnsi"/>
          <w:b/>
          <w:bCs/>
        </w:rPr>
      </w:pPr>
    </w:p>
    <w:p w14:paraId="418D9F82" w14:textId="3B135808" w:rsidR="000F2E80" w:rsidRPr="000F2E80" w:rsidRDefault="000F2E80" w:rsidP="00B82F58">
      <w:pPr>
        <w:rPr>
          <w:rFonts w:cstheme="minorHAnsi"/>
          <w:b/>
          <w:bCs/>
        </w:rPr>
      </w:pPr>
      <w:r>
        <w:rPr>
          <w:rFonts w:cstheme="minorHAnsi"/>
          <w:b/>
          <w:bCs/>
        </w:rPr>
        <w:t>Definition of credits</w:t>
      </w:r>
    </w:p>
    <w:p w14:paraId="73185F24" w14:textId="59B6B485" w:rsidR="00B82F58" w:rsidRDefault="00B82F58" w:rsidP="00B82F58">
      <w:pPr>
        <w:rPr>
          <w:rFonts w:cstheme="minorHAnsi"/>
          <w:color w:val="333333"/>
          <w:shd w:val="clear" w:color="auto" w:fill="FFFFFF"/>
        </w:rPr>
      </w:pPr>
      <w:r w:rsidRPr="0053007E">
        <w:rPr>
          <w:rFonts w:cstheme="minorHAnsi"/>
          <w:color w:val="333333"/>
          <w:shd w:val="clear" w:color="auto" w:fill="FFFFFF"/>
        </w:rPr>
        <w:t>In</w:t>
      </w:r>
      <w:r>
        <w:rPr>
          <w:rFonts w:cstheme="minorHAnsi"/>
          <w:color w:val="333333"/>
          <w:shd w:val="clear" w:color="auto" w:fill="FFFFFF"/>
        </w:rPr>
        <w:t xml:space="preserve"> the context of</w:t>
      </w:r>
      <w:r w:rsidR="000F2E80">
        <w:rPr>
          <w:rFonts w:cstheme="minorHAnsi"/>
          <w:color w:val="333333"/>
          <w:shd w:val="clear" w:color="auto" w:fill="FFFFFF"/>
        </w:rPr>
        <w:t xml:space="preserve"> a</w:t>
      </w:r>
      <w:r w:rsidR="008A5E91">
        <w:rPr>
          <w:rFonts w:cstheme="minorHAnsi"/>
          <w:color w:val="333333"/>
          <w:shd w:val="clear" w:color="auto" w:fill="FFFFFF"/>
        </w:rPr>
        <w:t>n</w:t>
      </w:r>
      <w:r w:rsidR="000F2E80">
        <w:rPr>
          <w:rFonts w:cstheme="minorHAnsi"/>
          <w:color w:val="333333"/>
          <w:shd w:val="clear" w:color="auto" w:fill="FFFFFF"/>
        </w:rPr>
        <w:t xml:space="preserve"> </w:t>
      </w:r>
      <w:r w:rsidR="000F2E80">
        <w:rPr>
          <w:rFonts w:cstheme="minorHAnsi"/>
        </w:rPr>
        <w:t>mtd</w:t>
      </w:r>
      <w:r>
        <w:rPr>
          <w:rFonts w:cstheme="minorHAnsi"/>
          <w:color w:val="333333"/>
          <w:shd w:val="clear" w:color="auto" w:fill="FFFFFF"/>
        </w:rPr>
        <w:t xml:space="preserve">, credit refers to the percent removal of </w:t>
      </w:r>
      <w:r w:rsidR="000B124E">
        <w:rPr>
          <w:rFonts w:cstheme="minorHAnsi"/>
          <w:color w:val="333333"/>
          <w:shd w:val="clear" w:color="auto" w:fill="FFFFFF"/>
        </w:rPr>
        <w:t>total suspended solid</w:t>
      </w:r>
      <w:r w:rsidR="00FA46E5">
        <w:rPr>
          <w:rFonts w:cstheme="minorHAnsi"/>
          <w:color w:val="333333"/>
          <w:shd w:val="clear" w:color="auto" w:fill="FFFFFF"/>
        </w:rPr>
        <w:t>s</w:t>
      </w:r>
      <w:r w:rsidR="000B124E">
        <w:rPr>
          <w:rFonts w:cstheme="minorHAnsi"/>
          <w:color w:val="333333"/>
          <w:shd w:val="clear" w:color="auto" w:fill="FFFFFF"/>
        </w:rPr>
        <w:t xml:space="preserve"> (</w:t>
      </w:r>
      <w:r>
        <w:rPr>
          <w:rFonts w:cstheme="minorHAnsi"/>
          <w:color w:val="333333"/>
          <w:shd w:val="clear" w:color="auto" w:fill="FFFFFF"/>
        </w:rPr>
        <w:t>TSS</w:t>
      </w:r>
      <w:r w:rsidR="000B124E">
        <w:rPr>
          <w:rFonts w:cstheme="minorHAnsi"/>
          <w:color w:val="333333"/>
          <w:shd w:val="clear" w:color="auto" w:fill="FFFFFF"/>
        </w:rPr>
        <w:t>)</w:t>
      </w:r>
      <w:r>
        <w:rPr>
          <w:rFonts w:cstheme="minorHAnsi"/>
          <w:color w:val="333333"/>
          <w:shd w:val="clear" w:color="auto" w:fill="FFFFFF"/>
        </w:rPr>
        <w:t xml:space="preserve"> or phosphorus for runoff</w:t>
      </w:r>
      <w:r w:rsidR="000B124E">
        <w:rPr>
          <w:rFonts w:cstheme="minorHAnsi"/>
          <w:color w:val="333333"/>
          <w:shd w:val="clear" w:color="auto" w:fill="FFFFFF"/>
        </w:rPr>
        <w:t xml:space="preserve"> captured and</w:t>
      </w:r>
      <w:r>
        <w:rPr>
          <w:rFonts w:cstheme="minorHAnsi"/>
          <w:color w:val="333333"/>
          <w:shd w:val="clear" w:color="auto" w:fill="FFFFFF"/>
        </w:rPr>
        <w:t xml:space="preserve"> treated by the device.</w:t>
      </w:r>
      <w:r w:rsidR="0053007E">
        <w:rPr>
          <w:rFonts w:cstheme="minorHAnsi"/>
          <w:color w:val="333333"/>
          <w:shd w:val="clear" w:color="auto" w:fill="FFFFFF"/>
        </w:rPr>
        <w:t xml:space="preserve"> As discussed in </w:t>
      </w:r>
      <w:hyperlink r:id="rId5" w:anchor="Protocol_for_monitoring" w:history="1">
        <w:r w:rsidR="0053007E" w:rsidRPr="0053007E">
          <w:rPr>
            <w:rStyle w:val="Hyperlink"/>
            <w:rFonts w:cstheme="minorHAnsi"/>
            <w:shd w:val="clear" w:color="auto" w:fill="FFFFFF"/>
          </w:rPr>
          <w:t>the mtd monitoring protocol</w:t>
        </w:r>
      </w:hyperlink>
      <w:r w:rsidR="0053007E">
        <w:rPr>
          <w:rFonts w:cstheme="minorHAnsi"/>
          <w:color w:val="333333"/>
          <w:shd w:val="clear" w:color="auto" w:fill="FFFFFF"/>
        </w:rPr>
        <w:t>, this discussion of credits applies</w:t>
      </w:r>
      <w:r w:rsidR="00BB2A19">
        <w:rPr>
          <w:rFonts w:cstheme="minorHAnsi"/>
          <w:color w:val="333333"/>
          <w:shd w:val="clear" w:color="auto" w:fill="FFFFFF"/>
        </w:rPr>
        <w:t xml:space="preserve"> only to water captured and treated by the device and does not include other practices in </w:t>
      </w:r>
      <w:r w:rsidR="00700F71">
        <w:rPr>
          <w:rFonts w:cstheme="minorHAnsi"/>
          <w:color w:val="333333"/>
          <w:shd w:val="clear" w:color="auto" w:fill="FFFFFF"/>
        </w:rPr>
        <w:t>a</w:t>
      </w:r>
      <w:r w:rsidR="00BB2A19">
        <w:rPr>
          <w:rFonts w:cstheme="minorHAnsi"/>
          <w:color w:val="333333"/>
          <w:shd w:val="clear" w:color="auto" w:fill="FFFFFF"/>
        </w:rPr>
        <w:t xml:space="preserve"> treatment train, including pretreatment upstream of the mtd.</w:t>
      </w:r>
      <w:r w:rsidR="0053007E">
        <w:rPr>
          <w:rFonts w:cstheme="minorHAnsi"/>
          <w:color w:val="333333"/>
          <w:shd w:val="clear" w:color="auto" w:fill="FFFFFF"/>
        </w:rPr>
        <w:t xml:space="preserve"> </w:t>
      </w:r>
      <w:r w:rsidR="000F2E80">
        <w:rPr>
          <w:rFonts w:cstheme="minorHAnsi"/>
          <w:color w:val="333333"/>
          <w:shd w:val="clear" w:color="auto" w:fill="FFFFFF"/>
        </w:rPr>
        <w:t xml:space="preserve">It does not represent the total </w:t>
      </w:r>
      <w:r w:rsidR="000B124E">
        <w:rPr>
          <w:rFonts w:cstheme="minorHAnsi"/>
          <w:color w:val="333333"/>
          <w:shd w:val="clear" w:color="auto" w:fill="FFFFFF"/>
        </w:rPr>
        <w:t xml:space="preserve">pollutant </w:t>
      </w:r>
      <w:r w:rsidR="000F2E80">
        <w:rPr>
          <w:rFonts w:cstheme="minorHAnsi"/>
          <w:color w:val="333333"/>
          <w:shd w:val="clear" w:color="auto" w:fill="FFFFFF"/>
        </w:rPr>
        <w:t>removal on an annual or event basis nor does it represent the mass of pollutant removed. These can be calculated as follows.</w:t>
      </w:r>
    </w:p>
    <w:p w14:paraId="79307B7B" w14:textId="64CF0294" w:rsidR="000F2E80" w:rsidRDefault="000F2E80" w:rsidP="000F2E80">
      <w:pPr>
        <w:pStyle w:val="ListParagraph"/>
        <w:numPr>
          <w:ilvl w:val="0"/>
          <w:numId w:val="4"/>
        </w:numPr>
        <w:rPr>
          <w:rFonts w:cstheme="minorHAnsi"/>
          <w:color w:val="333333"/>
          <w:shd w:val="clear" w:color="auto" w:fill="FFFFFF"/>
        </w:rPr>
      </w:pPr>
      <w:r>
        <w:rPr>
          <w:rFonts w:cstheme="minorHAnsi"/>
          <w:color w:val="333333"/>
          <w:shd w:val="clear" w:color="auto" w:fill="FFFFFF"/>
        </w:rPr>
        <w:t xml:space="preserve">Removal on an annual or event basis = mtd removal efficiency </w:t>
      </w:r>
      <w:r w:rsidR="00FA46E5">
        <w:rPr>
          <w:rFonts w:cstheme="minorHAnsi"/>
          <w:color w:val="333333"/>
          <w:shd w:val="clear" w:color="auto" w:fill="FFFFFF"/>
        </w:rPr>
        <w:t>*</w:t>
      </w:r>
      <w:r>
        <w:rPr>
          <w:rFonts w:cstheme="minorHAnsi"/>
          <w:color w:val="333333"/>
          <w:shd w:val="clear" w:color="auto" w:fill="FFFFFF"/>
        </w:rPr>
        <w:t xml:space="preserve"> percent volume captured and treated on an event or annual basis.</w:t>
      </w:r>
      <w:r w:rsidR="001C6D9F">
        <w:rPr>
          <w:rFonts w:cstheme="minorHAnsi"/>
          <w:color w:val="333333"/>
          <w:shd w:val="clear" w:color="auto" w:fill="FFFFFF"/>
        </w:rPr>
        <w:t xml:space="preserve"> For example, if a device removes 80% of TSS it captures and the device captures 90% of annual runoff, the device removes (0.8 X 0.9) or 72% of TSS on an annual basis.</w:t>
      </w:r>
    </w:p>
    <w:p w14:paraId="43933A05" w14:textId="4EF4F65B" w:rsidR="000F2E80" w:rsidRPr="001B3C38" w:rsidRDefault="000F2E80" w:rsidP="001B3C38">
      <w:pPr>
        <w:pStyle w:val="ListParagraph"/>
        <w:numPr>
          <w:ilvl w:val="0"/>
          <w:numId w:val="4"/>
        </w:numPr>
        <w:spacing w:before="100" w:beforeAutospacing="1" w:after="100" w:afterAutospacing="1" w:line="240" w:lineRule="auto"/>
        <w:rPr>
          <w:rFonts w:cstheme="minorHAnsi"/>
          <w:color w:val="333333"/>
          <w:shd w:val="clear" w:color="auto" w:fill="FFFFFF"/>
        </w:rPr>
      </w:pPr>
      <w:r>
        <w:rPr>
          <w:rFonts w:cstheme="minorHAnsi"/>
          <w:color w:val="333333"/>
          <w:shd w:val="clear" w:color="auto" w:fill="FFFFFF"/>
        </w:rPr>
        <w:t xml:space="preserve">Mass removed = </w:t>
      </w:r>
      <w:r w:rsidR="001C6D9F">
        <w:rPr>
          <w:rFonts w:cstheme="minorHAnsi"/>
          <w:color w:val="333333"/>
          <w:shd w:val="clear" w:color="auto" w:fill="FFFFFF"/>
        </w:rPr>
        <w:t xml:space="preserve">mean concentration entering the device </w:t>
      </w:r>
      <w:r w:rsidR="00B700A9">
        <w:rPr>
          <w:rFonts w:cstheme="minorHAnsi"/>
          <w:color w:val="333333"/>
          <w:shd w:val="clear" w:color="auto" w:fill="FFFFFF"/>
        </w:rPr>
        <w:t>*</w:t>
      </w:r>
      <w:r w:rsidR="001C6D9F">
        <w:rPr>
          <w:rFonts w:cstheme="minorHAnsi"/>
          <w:color w:val="333333"/>
          <w:shd w:val="clear" w:color="auto" w:fill="FFFFFF"/>
        </w:rPr>
        <w:t xml:space="preserve"> volume entering and treated by the device X removal efficiency</w:t>
      </w:r>
      <w:r w:rsidR="008A5E91">
        <w:rPr>
          <w:rFonts w:cstheme="minorHAnsi"/>
          <w:color w:val="333333"/>
          <w:shd w:val="clear" w:color="auto" w:fill="FFFFFF"/>
        </w:rPr>
        <w:t xml:space="preserve">. </w:t>
      </w:r>
      <w:r w:rsidR="008A5E91" w:rsidRPr="001B3C38">
        <w:rPr>
          <w:rFonts w:cstheme="minorHAnsi"/>
          <w:color w:val="333333"/>
          <w:shd w:val="clear" w:color="auto" w:fill="FFFFFF"/>
        </w:rPr>
        <w:t>For example, if the mean concentration is 1 mg/L, one liter of runoff enters the device, and the device removes 80% of the pollutants, the mass removed is 0.8 mg.</w:t>
      </w:r>
    </w:p>
    <w:p w14:paraId="7EAC8FA3" w14:textId="77777777" w:rsidR="00700F71" w:rsidRPr="001B3C38" w:rsidRDefault="00700F71" w:rsidP="001B3C38">
      <w:pPr>
        <w:spacing w:before="100" w:beforeAutospacing="1" w:after="100" w:afterAutospacing="1" w:line="240" w:lineRule="auto"/>
        <w:contextualSpacing/>
        <w:rPr>
          <w:rFonts w:cstheme="minorHAnsi"/>
          <w:b/>
          <w:bCs/>
          <w:color w:val="333333"/>
          <w:shd w:val="clear" w:color="auto" w:fill="FFFFFF"/>
        </w:rPr>
      </w:pPr>
    </w:p>
    <w:p w14:paraId="5B19629A" w14:textId="2C20BAD7" w:rsidR="008A5E91" w:rsidRPr="001B3C38" w:rsidRDefault="00700F71" w:rsidP="001B3C38">
      <w:pPr>
        <w:spacing w:before="100" w:beforeAutospacing="1" w:after="100" w:afterAutospacing="1" w:line="240" w:lineRule="auto"/>
        <w:contextualSpacing/>
        <w:rPr>
          <w:rFonts w:cstheme="minorHAnsi"/>
          <w:b/>
          <w:bCs/>
          <w:color w:val="333333"/>
          <w:shd w:val="clear" w:color="auto" w:fill="FFFFFF"/>
        </w:rPr>
      </w:pPr>
      <w:r w:rsidRPr="001B3C38">
        <w:rPr>
          <w:rFonts w:cstheme="minorHAnsi"/>
          <w:b/>
          <w:bCs/>
          <w:color w:val="333333"/>
          <w:shd w:val="clear" w:color="auto" w:fill="FFFFFF"/>
        </w:rPr>
        <w:t>Purpose of this protocol</w:t>
      </w:r>
    </w:p>
    <w:p w14:paraId="01B8DDC7" w14:textId="6F64E49A" w:rsidR="00700F71" w:rsidRPr="001B3C38" w:rsidRDefault="00700F71" w:rsidP="001B3C38">
      <w:pPr>
        <w:pStyle w:val="Heading1"/>
        <w:shd w:val="clear" w:color="auto" w:fill="FFFFFF"/>
        <w:spacing w:before="100" w:beforeAutospacing="1" w:after="100" w:afterAutospacing="1" w:line="240" w:lineRule="auto"/>
        <w:contextualSpacing/>
        <w:rPr>
          <w:rFonts w:asciiTheme="minorHAnsi" w:hAnsiTheme="minorHAnsi" w:cstheme="minorHAnsi"/>
          <w:color w:val="333333"/>
          <w:sz w:val="22"/>
          <w:szCs w:val="22"/>
          <w:shd w:val="clear" w:color="auto" w:fill="FFFFFF"/>
        </w:rPr>
      </w:pPr>
      <w:r w:rsidRPr="001B3C38">
        <w:rPr>
          <w:rFonts w:asciiTheme="minorHAnsi" w:hAnsiTheme="minorHAnsi" w:cstheme="minorHAnsi"/>
          <w:color w:val="333333"/>
          <w:sz w:val="22"/>
          <w:szCs w:val="22"/>
          <w:shd w:val="clear" w:color="auto" w:fill="FFFFFF"/>
        </w:rPr>
        <w:t xml:space="preserve">This protocol </w:t>
      </w:r>
      <w:r w:rsidR="005C6C4A" w:rsidRPr="001B3C38">
        <w:rPr>
          <w:rFonts w:asciiTheme="minorHAnsi" w:hAnsiTheme="minorHAnsi" w:cstheme="minorHAnsi"/>
          <w:color w:val="333333"/>
          <w:sz w:val="22"/>
          <w:szCs w:val="22"/>
          <w:shd w:val="clear" w:color="auto" w:fill="FFFFFF"/>
        </w:rPr>
        <w:t>is used by Minnesota Pollution Control Agency (MPCA) staff to develop credits for mtds</w:t>
      </w:r>
      <w:r w:rsidR="00DB6155">
        <w:rPr>
          <w:rFonts w:asciiTheme="minorHAnsi" w:hAnsiTheme="minorHAnsi" w:cstheme="minorHAnsi"/>
          <w:color w:val="333333"/>
          <w:sz w:val="22"/>
          <w:szCs w:val="22"/>
          <w:shd w:val="clear" w:color="auto" w:fill="FFFFFF"/>
        </w:rPr>
        <w:t xml:space="preserve">. </w:t>
      </w:r>
      <w:r w:rsidR="005C6C4A" w:rsidRPr="001B3C38">
        <w:rPr>
          <w:rFonts w:asciiTheme="minorHAnsi" w:hAnsiTheme="minorHAnsi" w:cstheme="minorHAnsi"/>
          <w:color w:val="333333"/>
          <w:sz w:val="22"/>
          <w:szCs w:val="22"/>
          <w:shd w:val="clear" w:color="auto" w:fill="FFFFFF"/>
        </w:rPr>
        <w:t>The MPCA</w:t>
      </w:r>
      <w:r w:rsidR="001B3C38">
        <w:rPr>
          <w:rFonts w:asciiTheme="minorHAnsi" w:hAnsiTheme="minorHAnsi" w:cstheme="minorHAnsi"/>
          <w:color w:val="333333"/>
          <w:sz w:val="22"/>
          <w:szCs w:val="22"/>
          <w:shd w:val="clear" w:color="auto" w:fill="FFFFFF"/>
        </w:rPr>
        <w:t xml:space="preserve"> does not review individual installations of mtds but</w:t>
      </w:r>
      <w:r w:rsidR="005C6C4A" w:rsidRPr="001B3C38">
        <w:rPr>
          <w:rFonts w:asciiTheme="minorHAnsi" w:hAnsiTheme="minorHAnsi" w:cstheme="minorHAnsi"/>
          <w:color w:val="333333"/>
          <w:sz w:val="22"/>
          <w:szCs w:val="22"/>
          <w:shd w:val="clear" w:color="auto" w:fill="FFFFFF"/>
        </w:rPr>
        <w:t xml:space="preserve"> sets </w:t>
      </w:r>
      <w:r w:rsidR="001B3C38">
        <w:rPr>
          <w:rFonts w:asciiTheme="minorHAnsi" w:hAnsiTheme="minorHAnsi" w:cstheme="minorHAnsi"/>
          <w:color w:val="333333"/>
          <w:sz w:val="22"/>
          <w:szCs w:val="22"/>
          <w:shd w:val="clear" w:color="auto" w:fill="FFFFFF"/>
        </w:rPr>
        <w:t xml:space="preserve">a </w:t>
      </w:r>
      <w:r w:rsidR="005C6C4A" w:rsidRPr="001B3C38">
        <w:rPr>
          <w:rFonts w:asciiTheme="minorHAnsi" w:hAnsiTheme="minorHAnsi" w:cstheme="minorHAnsi"/>
          <w:color w:val="333333"/>
          <w:sz w:val="22"/>
          <w:szCs w:val="22"/>
          <w:shd w:val="clear" w:color="auto" w:fill="FFFFFF"/>
        </w:rPr>
        <w:t>credit for a specific mtd (</w:t>
      </w:r>
      <w:hyperlink w:anchor="Protocol_for_determining_credits" w:history="1">
        <w:r w:rsidR="005C6C4A" w:rsidRPr="00B700A9">
          <w:rPr>
            <w:rStyle w:val="Hyperlink"/>
            <w:rFonts w:asciiTheme="minorHAnsi" w:hAnsiTheme="minorHAnsi" w:cstheme="minorHAnsi"/>
            <w:sz w:val="22"/>
            <w:szCs w:val="22"/>
            <w:shd w:val="clear" w:color="auto" w:fill="FFFFFF"/>
          </w:rPr>
          <w:t>see protocol below</w:t>
        </w:r>
      </w:hyperlink>
      <w:r w:rsidR="005C6C4A" w:rsidRPr="001B3C38">
        <w:rPr>
          <w:rFonts w:asciiTheme="minorHAnsi" w:hAnsiTheme="minorHAnsi" w:cstheme="minorHAnsi"/>
          <w:color w:val="333333"/>
          <w:sz w:val="22"/>
          <w:szCs w:val="22"/>
          <w:shd w:val="clear" w:color="auto" w:fill="FFFFFF"/>
        </w:rPr>
        <w:t>) that can be applied for all installations of the device, assuming proper design, construction, operation, and maintenance of the device</w:t>
      </w:r>
      <w:r w:rsidR="0026297A" w:rsidRPr="001B3C38">
        <w:rPr>
          <w:rFonts w:asciiTheme="minorHAnsi" w:hAnsiTheme="minorHAnsi" w:cstheme="minorHAnsi"/>
          <w:color w:val="333333"/>
          <w:sz w:val="22"/>
          <w:szCs w:val="22"/>
          <w:shd w:val="clear" w:color="auto" w:fill="FFFFFF"/>
        </w:rPr>
        <w:t xml:space="preserve">. See the page </w:t>
      </w:r>
      <w:hyperlink r:id="rId6" w:history="1">
        <w:r w:rsidR="001B3C38" w:rsidRPr="001B3C38">
          <w:rPr>
            <w:rStyle w:val="Hyperlink"/>
            <w:rFonts w:asciiTheme="minorHAnsi" w:eastAsia="Times New Roman" w:hAnsiTheme="minorHAnsi" w:cstheme="minorHAnsi"/>
            <w:kern w:val="36"/>
            <w:sz w:val="22"/>
            <w:szCs w:val="22"/>
          </w:rPr>
          <w:t>TP and TSS credits and guidance for manufactured treatment devices (mtds)</w:t>
        </w:r>
      </w:hyperlink>
      <w:r w:rsidR="001B3C38" w:rsidRPr="001B3C38">
        <w:rPr>
          <w:rFonts w:asciiTheme="minorHAnsi" w:eastAsia="Times New Roman" w:hAnsiTheme="minorHAnsi" w:cstheme="minorHAnsi"/>
          <w:color w:val="333333"/>
          <w:kern w:val="36"/>
          <w:sz w:val="22"/>
          <w:szCs w:val="22"/>
        </w:rPr>
        <w:t xml:space="preserve"> </w:t>
      </w:r>
      <w:r w:rsidR="0026297A" w:rsidRPr="001B3C38">
        <w:rPr>
          <w:rFonts w:asciiTheme="minorHAnsi" w:hAnsiTheme="minorHAnsi" w:cstheme="minorHAnsi"/>
          <w:color w:val="333333"/>
          <w:sz w:val="22"/>
          <w:szCs w:val="22"/>
          <w:shd w:val="clear" w:color="auto" w:fill="FFFFFF"/>
        </w:rPr>
        <w:t xml:space="preserve">for additional </w:t>
      </w:r>
      <w:r w:rsidR="001B3C38">
        <w:rPr>
          <w:rFonts w:asciiTheme="minorHAnsi" w:hAnsiTheme="minorHAnsi" w:cstheme="minorHAnsi"/>
          <w:color w:val="333333"/>
          <w:sz w:val="22"/>
          <w:szCs w:val="22"/>
          <w:shd w:val="clear" w:color="auto" w:fill="FFFFFF"/>
        </w:rPr>
        <w:t xml:space="preserve">information. The credits determined by the MPCA define what is acceptable to the MPCA for meeting NPDES permit requirements. Local units of government may set different credits and requirements for mtds. These may be acceptable to the MPCA if they are </w:t>
      </w:r>
      <w:r w:rsidR="004212FE">
        <w:rPr>
          <w:rFonts w:asciiTheme="minorHAnsi" w:hAnsiTheme="minorHAnsi" w:cstheme="minorHAnsi"/>
          <w:color w:val="333333"/>
          <w:sz w:val="22"/>
          <w:szCs w:val="22"/>
          <w:shd w:val="clear" w:color="auto" w:fill="FFFFFF"/>
        </w:rPr>
        <w:t>as stringent or more stringent than what is established by the MPCA.</w:t>
      </w:r>
    </w:p>
    <w:p w14:paraId="12E14FF6" w14:textId="77777777" w:rsidR="00700F71" w:rsidRPr="00700F71" w:rsidRDefault="00700F71" w:rsidP="00B82F58">
      <w:pPr>
        <w:rPr>
          <w:rFonts w:cstheme="minorHAnsi"/>
          <w:color w:val="333333"/>
          <w:shd w:val="clear" w:color="auto" w:fill="FFFFFF"/>
        </w:rPr>
      </w:pPr>
    </w:p>
    <w:p w14:paraId="632BA849" w14:textId="35A6CD29" w:rsidR="000F2E80" w:rsidRPr="000F2E80" w:rsidRDefault="000F2E80" w:rsidP="00B82F58">
      <w:pPr>
        <w:rPr>
          <w:rFonts w:cstheme="minorHAnsi"/>
          <w:b/>
          <w:bCs/>
        </w:rPr>
      </w:pPr>
      <w:bookmarkStart w:id="0" w:name="Protocol_for_determining_credits"/>
      <w:r>
        <w:rPr>
          <w:rFonts w:cstheme="minorHAnsi"/>
          <w:b/>
          <w:bCs/>
          <w:color w:val="333333"/>
          <w:shd w:val="clear" w:color="auto" w:fill="FFFFFF"/>
        </w:rPr>
        <w:t>Protocol for determining credits</w:t>
      </w:r>
    </w:p>
    <w:bookmarkEnd w:id="0"/>
    <w:p w14:paraId="4E734DE0" w14:textId="18D7D162" w:rsidR="009A7EE5" w:rsidRPr="00707FA7" w:rsidRDefault="009A7EE5" w:rsidP="009A7EE5">
      <w:pPr>
        <w:pStyle w:val="ListParagraph"/>
        <w:numPr>
          <w:ilvl w:val="0"/>
          <w:numId w:val="1"/>
        </w:numPr>
        <w:rPr>
          <w:rFonts w:cstheme="minorHAnsi"/>
        </w:rPr>
      </w:pPr>
      <w:r w:rsidRPr="00FA21AD">
        <w:rPr>
          <w:rFonts w:cstheme="minorHAnsi"/>
        </w:rPr>
        <w:t xml:space="preserve">Only </w:t>
      </w:r>
      <w:r w:rsidR="00CD089E" w:rsidRPr="00FA21AD">
        <w:rPr>
          <w:rFonts w:cstheme="minorHAnsi"/>
        </w:rPr>
        <w:t xml:space="preserve">Washington State </w:t>
      </w:r>
      <w:r w:rsidR="00FA21AD" w:rsidRPr="00FA21AD">
        <w:rPr>
          <w:rFonts w:cstheme="minorHAnsi"/>
          <w:color w:val="333333"/>
          <w:shd w:val="clear" w:color="auto" w:fill="FFFFFF"/>
        </w:rPr>
        <w:t>Technology Assessment Protocol – Ecology (</w:t>
      </w:r>
      <w:r w:rsidRPr="00FA21AD">
        <w:rPr>
          <w:rFonts w:cstheme="minorHAnsi"/>
        </w:rPr>
        <w:t>TAPE</w:t>
      </w:r>
      <w:r w:rsidR="00FA21AD" w:rsidRPr="00FA21AD">
        <w:rPr>
          <w:rFonts w:cstheme="minorHAnsi"/>
        </w:rPr>
        <w:t>)</w:t>
      </w:r>
      <w:r w:rsidRPr="00FA21AD">
        <w:rPr>
          <w:rFonts w:cstheme="minorHAnsi"/>
        </w:rPr>
        <w:t>-approved devices</w:t>
      </w:r>
      <w:r w:rsidR="00CD089E" w:rsidRPr="00FA21AD">
        <w:rPr>
          <w:rFonts w:cstheme="minorHAnsi"/>
        </w:rPr>
        <w:t xml:space="preserve"> receiving General Use Level Designation (GULD) certification</w:t>
      </w:r>
      <w:r w:rsidRPr="00FA21AD">
        <w:rPr>
          <w:rFonts w:cstheme="minorHAnsi"/>
        </w:rPr>
        <w:t xml:space="preserve"> </w:t>
      </w:r>
      <w:r w:rsidR="00CD089E" w:rsidRPr="00FA21AD">
        <w:rPr>
          <w:rFonts w:cstheme="minorHAnsi"/>
        </w:rPr>
        <w:t xml:space="preserve">for the following </w:t>
      </w:r>
      <w:r w:rsidRPr="00FA21AD">
        <w:rPr>
          <w:rFonts w:cstheme="minorHAnsi"/>
        </w:rPr>
        <w:t>are eligible for credits.</w:t>
      </w:r>
      <w:r w:rsidR="008A5E91" w:rsidRPr="00FA21AD">
        <w:rPr>
          <w:rFonts w:cstheme="minorHAnsi"/>
        </w:rPr>
        <w:t xml:space="preserve"> For more information</w:t>
      </w:r>
      <w:r w:rsidR="008A5E91">
        <w:rPr>
          <w:rFonts w:cstheme="minorHAnsi"/>
        </w:rPr>
        <w:t xml:space="preserve">, see </w:t>
      </w:r>
      <w:hyperlink r:id="rId7" w:history="1">
        <w:r w:rsidR="008A5E91" w:rsidRPr="00FA21AD">
          <w:rPr>
            <w:rStyle w:val="Hyperlink"/>
            <w:rFonts w:cstheme="minorHAnsi"/>
          </w:rPr>
          <w:t xml:space="preserve">Washington State TAPE </w:t>
        </w:r>
        <w:r w:rsidR="00FA21AD" w:rsidRPr="00FA21AD">
          <w:rPr>
            <w:rStyle w:val="Hyperlink"/>
            <w:rFonts w:cstheme="minorHAnsi"/>
          </w:rPr>
          <w:t>guidance and technical assistance</w:t>
        </w:r>
      </w:hyperlink>
      <w:r w:rsidR="00FA21AD">
        <w:rPr>
          <w:rFonts w:cstheme="minorHAnsi"/>
        </w:rPr>
        <w:t>.</w:t>
      </w:r>
    </w:p>
    <w:p w14:paraId="59E8F3D7" w14:textId="2F6240E8" w:rsidR="009A7EE5" w:rsidRPr="00707FA7" w:rsidRDefault="009A7EE5" w:rsidP="009A7EE5">
      <w:pPr>
        <w:pStyle w:val="ListParagraph"/>
        <w:numPr>
          <w:ilvl w:val="1"/>
          <w:numId w:val="1"/>
        </w:numPr>
        <w:rPr>
          <w:rFonts w:cstheme="minorHAnsi"/>
        </w:rPr>
      </w:pPr>
      <w:r w:rsidRPr="00707FA7">
        <w:rPr>
          <w:rFonts w:cstheme="minorHAnsi"/>
        </w:rPr>
        <w:t>Basic treatment for TSS credit</w:t>
      </w:r>
    </w:p>
    <w:p w14:paraId="6760DC2C" w14:textId="519A3DFF" w:rsidR="009A7EE5" w:rsidRPr="00707FA7" w:rsidRDefault="009A7EE5" w:rsidP="009A7EE5">
      <w:pPr>
        <w:pStyle w:val="ListParagraph"/>
        <w:numPr>
          <w:ilvl w:val="1"/>
          <w:numId w:val="1"/>
        </w:numPr>
        <w:rPr>
          <w:rFonts w:cstheme="minorHAnsi"/>
        </w:rPr>
      </w:pPr>
      <w:r w:rsidRPr="00707FA7">
        <w:rPr>
          <w:rFonts w:cstheme="minorHAnsi"/>
        </w:rPr>
        <w:lastRenderedPageBreak/>
        <w:t>Phosphorus treatment for total phosphorus</w:t>
      </w:r>
      <w:r w:rsidR="00DB6155">
        <w:rPr>
          <w:rFonts w:cstheme="minorHAnsi"/>
        </w:rPr>
        <w:t xml:space="preserve"> credit</w:t>
      </w:r>
    </w:p>
    <w:p w14:paraId="02B1E113" w14:textId="7E835FC1" w:rsidR="009A7EE5" w:rsidRPr="00707FA7" w:rsidRDefault="009A7EE5" w:rsidP="009A7EE5">
      <w:pPr>
        <w:pStyle w:val="ListParagraph"/>
        <w:numPr>
          <w:ilvl w:val="0"/>
          <w:numId w:val="1"/>
        </w:numPr>
        <w:rPr>
          <w:rFonts w:cstheme="minorHAnsi"/>
        </w:rPr>
      </w:pPr>
      <w:r w:rsidRPr="00707FA7">
        <w:rPr>
          <w:rFonts w:cstheme="minorHAnsi"/>
        </w:rPr>
        <w:t>TSS and TP credits may be determined</w:t>
      </w:r>
      <w:r w:rsidR="00CD089E" w:rsidRPr="00707FA7">
        <w:rPr>
          <w:rFonts w:cstheme="minorHAnsi"/>
        </w:rPr>
        <w:t>, at the discretion of the Minnesota Pollution Control Agency (MPCA),</w:t>
      </w:r>
      <w:r w:rsidRPr="00707FA7">
        <w:rPr>
          <w:rFonts w:cstheme="minorHAnsi"/>
        </w:rPr>
        <w:t xml:space="preserve"> for any device meeting criteria 1 above and that follows </w:t>
      </w:r>
      <w:r w:rsidR="00CD089E" w:rsidRPr="00707FA7">
        <w:rPr>
          <w:rFonts w:cstheme="minorHAnsi"/>
        </w:rPr>
        <w:t xml:space="preserve">TAPE </w:t>
      </w:r>
      <w:r w:rsidRPr="00707FA7">
        <w:rPr>
          <w:rFonts w:cstheme="minorHAnsi"/>
        </w:rPr>
        <w:t>monitoring protocol</w:t>
      </w:r>
      <w:r w:rsidR="00CD089E" w:rsidRPr="00707FA7">
        <w:rPr>
          <w:rFonts w:cstheme="minorHAnsi"/>
        </w:rPr>
        <w:t xml:space="preserve"> or monitoring protocol</w:t>
      </w:r>
      <w:r w:rsidRPr="00707FA7">
        <w:rPr>
          <w:rFonts w:cstheme="minorHAnsi"/>
        </w:rPr>
        <w:t xml:space="preserve"> </w:t>
      </w:r>
      <w:hyperlink r:id="rId8" w:anchor="Protocol_for_monitoring" w:history="1">
        <w:r w:rsidRPr="00707FA7">
          <w:rPr>
            <w:rStyle w:val="Hyperlink"/>
            <w:rFonts w:cstheme="minorHAnsi"/>
          </w:rPr>
          <w:t>described here</w:t>
        </w:r>
      </w:hyperlink>
      <w:r w:rsidRPr="00707FA7">
        <w:rPr>
          <w:rFonts w:cstheme="minorHAnsi"/>
        </w:rPr>
        <w:t>.</w:t>
      </w:r>
    </w:p>
    <w:p w14:paraId="2853775F" w14:textId="431A4FA4" w:rsidR="009A7EE5" w:rsidRPr="00707FA7" w:rsidRDefault="009A7EE5" w:rsidP="009A7EE5">
      <w:pPr>
        <w:pStyle w:val="ListParagraph"/>
        <w:numPr>
          <w:ilvl w:val="0"/>
          <w:numId w:val="1"/>
        </w:numPr>
        <w:rPr>
          <w:rFonts w:cstheme="minorHAnsi"/>
        </w:rPr>
      </w:pPr>
      <w:r w:rsidRPr="00707FA7">
        <w:rPr>
          <w:rFonts w:cstheme="minorHAnsi"/>
        </w:rPr>
        <w:t>TSS credit</w:t>
      </w:r>
      <w:r w:rsidR="00FA21AD">
        <w:rPr>
          <w:rFonts w:cstheme="minorHAnsi"/>
        </w:rPr>
        <w:t xml:space="preserve"> is determined as follows</w:t>
      </w:r>
      <w:r w:rsidR="000A3068">
        <w:rPr>
          <w:rFonts w:cstheme="minorHAnsi"/>
        </w:rPr>
        <w:t>:</w:t>
      </w:r>
    </w:p>
    <w:p w14:paraId="09168E4E" w14:textId="77777777" w:rsidR="00DB6155" w:rsidRDefault="009A7EE5" w:rsidP="00312752">
      <w:pPr>
        <w:pStyle w:val="ListParagraph"/>
        <w:numPr>
          <w:ilvl w:val="1"/>
          <w:numId w:val="1"/>
        </w:numPr>
        <w:rPr>
          <w:rFonts w:cstheme="minorHAnsi"/>
        </w:rPr>
      </w:pPr>
      <w:r w:rsidRPr="00DB6155">
        <w:rPr>
          <w:rFonts w:cstheme="minorHAnsi"/>
        </w:rPr>
        <w:t>The lower 90% confidence limit</w:t>
      </w:r>
      <w:r w:rsidR="00115A0D" w:rsidRPr="00DB6155">
        <w:rPr>
          <w:rFonts w:cstheme="minorHAnsi"/>
        </w:rPr>
        <w:t xml:space="preserve"> (LCL)</w:t>
      </w:r>
      <w:r w:rsidRPr="00DB6155">
        <w:rPr>
          <w:rFonts w:cstheme="minorHAnsi"/>
        </w:rPr>
        <w:t xml:space="preserve"> for all samples</w:t>
      </w:r>
      <w:r w:rsidR="00161A69" w:rsidRPr="00DB6155">
        <w:rPr>
          <w:rFonts w:cstheme="minorHAnsi"/>
        </w:rPr>
        <w:t xml:space="preserve"> from TAPE monitoring</w:t>
      </w:r>
      <w:r w:rsidRPr="00DB6155">
        <w:rPr>
          <w:rFonts w:cstheme="minorHAnsi"/>
        </w:rPr>
        <w:t xml:space="preserve">, calculated using </w:t>
      </w:r>
      <w:hyperlink r:id="rId9" w:history="1">
        <w:r w:rsidRPr="00DB6155">
          <w:rPr>
            <w:rStyle w:val="Hyperlink"/>
            <w:rFonts w:cstheme="minorHAnsi"/>
          </w:rPr>
          <w:t>Washington TAPE’s Bootstrap Calculator</w:t>
        </w:r>
      </w:hyperlink>
      <w:r w:rsidR="00DB6155">
        <w:rPr>
          <w:rStyle w:val="Hyperlink"/>
          <w:rFonts w:cstheme="minorHAnsi"/>
        </w:rPr>
        <w:t xml:space="preserve"> </w:t>
      </w:r>
      <w:r w:rsidR="00DB6155">
        <w:rPr>
          <w:rFonts w:cstheme="minorHAnsi"/>
        </w:rPr>
        <w:t>o</w:t>
      </w:r>
      <w:r w:rsidR="00DB6155" w:rsidRPr="00DB6155">
        <w:rPr>
          <w:rFonts w:cstheme="minorHAnsi"/>
        </w:rPr>
        <w:t>r</w:t>
      </w:r>
    </w:p>
    <w:p w14:paraId="3D6A975E" w14:textId="636E18EC" w:rsidR="00161A69" w:rsidRPr="00DB6155" w:rsidRDefault="00DB6155" w:rsidP="00312752">
      <w:pPr>
        <w:pStyle w:val="ListParagraph"/>
        <w:numPr>
          <w:ilvl w:val="1"/>
          <w:numId w:val="1"/>
        </w:numPr>
        <w:rPr>
          <w:rFonts w:cstheme="minorHAnsi"/>
        </w:rPr>
      </w:pPr>
      <w:r>
        <w:rPr>
          <w:rFonts w:cstheme="minorHAnsi"/>
        </w:rPr>
        <w:t>t</w:t>
      </w:r>
      <w:r w:rsidR="00161A69" w:rsidRPr="00DB6155">
        <w:rPr>
          <w:rFonts w:cstheme="minorHAnsi"/>
        </w:rPr>
        <w:t xml:space="preserve">he </w:t>
      </w:r>
      <w:r w:rsidR="00115A0D" w:rsidRPr="00DB6155">
        <w:rPr>
          <w:rFonts w:cstheme="minorHAnsi"/>
        </w:rPr>
        <w:t>LCL</w:t>
      </w:r>
      <w:r w:rsidR="00161A69" w:rsidRPr="00DB6155">
        <w:rPr>
          <w:rFonts w:cstheme="minorHAnsi"/>
        </w:rPr>
        <w:t xml:space="preserve"> for all samples from other monitoring that follows monitoring protocol </w:t>
      </w:r>
      <w:hyperlink r:id="rId10" w:anchor="Protocol_for_monitoring" w:history="1">
        <w:r w:rsidR="00161A69" w:rsidRPr="00DB6155">
          <w:rPr>
            <w:rStyle w:val="Hyperlink"/>
            <w:rFonts w:cstheme="minorHAnsi"/>
          </w:rPr>
          <w:t>described here</w:t>
        </w:r>
      </w:hyperlink>
      <w:r w:rsidR="00CD089E" w:rsidRPr="00DB6155">
        <w:rPr>
          <w:rFonts w:cstheme="minorHAnsi"/>
        </w:rPr>
        <w:t>, calculated using Washington TAPE’s Bootstrap Calculator</w:t>
      </w:r>
      <w:r w:rsidR="000A3068">
        <w:rPr>
          <w:rFonts w:cstheme="minorHAnsi"/>
        </w:rPr>
        <w:t>.</w:t>
      </w:r>
    </w:p>
    <w:p w14:paraId="02A8C2F8" w14:textId="441ECD7A" w:rsidR="00115A0D" w:rsidRPr="00707FA7" w:rsidRDefault="00115A0D" w:rsidP="00161A69">
      <w:pPr>
        <w:pStyle w:val="ListParagraph"/>
        <w:numPr>
          <w:ilvl w:val="1"/>
          <w:numId w:val="1"/>
        </w:numPr>
        <w:rPr>
          <w:rFonts w:cstheme="minorHAnsi"/>
        </w:rPr>
      </w:pPr>
      <w:r>
        <w:rPr>
          <w:rFonts w:cstheme="minorHAnsi"/>
        </w:rPr>
        <w:t>If the LCL is less than 80%</w:t>
      </w:r>
      <w:r w:rsidR="0039707E">
        <w:rPr>
          <w:rFonts w:cstheme="minorHAnsi"/>
        </w:rPr>
        <w:t xml:space="preserve">, MPCA staff may assign a value of 80% if additional analysis and review indicates the device is likely to achieve 80% TSS removal under most storm runoff conditions. Factors considered in this determination </w:t>
      </w:r>
      <w:r w:rsidR="00F139C7">
        <w:rPr>
          <w:rFonts w:cstheme="minorHAnsi"/>
        </w:rPr>
        <w:t>include but</w:t>
      </w:r>
      <w:r w:rsidR="0039707E">
        <w:rPr>
          <w:rFonts w:cstheme="minorHAnsi"/>
        </w:rPr>
        <w:t xml:space="preserve"> are not limited to low influent TSS concentrations during monitoring, exceptionally small particle size in monitoring runoff, </w:t>
      </w:r>
      <w:r w:rsidR="00F139C7">
        <w:rPr>
          <w:rFonts w:cstheme="minorHAnsi"/>
        </w:rPr>
        <w:t>or</w:t>
      </w:r>
      <w:r w:rsidR="0039707E">
        <w:rPr>
          <w:rFonts w:cstheme="minorHAnsi"/>
        </w:rPr>
        <w:t xml:space="preserve"> laboratory analysis under conditions considered more representative of runoff than conditions that existed during field monitoring.</w:t>
      </w:r>
    </w:p>
    <w:p w14:paraId="13047989" w14:textId="11BF077B" w:rsidR="00161A69" w:rsidRPr="00707FA7" w:rsidRDefault="00161A69" w:rsidP="00161A69">
      <w:pPr>
        <w:pStyle w:val="ListParagraph"/>
        <w:numPr>
          <w:ilvl w:val="0"/>
          <w:numId w:val="1"/>
        </w:numPr>
        <w:rPr>
          <w:rFonts w:cstheme="minorHAnsi"/>
        </w:rPr>
      </w:pPr>
      <w:r w:rsidRPr="00707FA7">
        <w:rPr>
          <w:rFonts w:cstheme="minorHAnsi"/>
        </w:rPr>
        <w:t>TP credit</w:t>
      </w:r>
      <w:r w:rsidR="004212FE">
        <w:rPr>
          <w:rFonts w:cstheme="minorHAnsi"/>
        </w:rPr>
        <w:t>s are determined as follows</w:t>
      </w:r>
      <w:r w:rsidR="000A3068">
        <w:rPr>
          <w:rFonts w:cstheme="minorHAnsi"/>
        </w:rPr>
        <w:t>:</w:t>
      </w:r>
    </w:p>
    <w:p w14:paraId="366EA29F" w14:textId="0A57C6F8" w:rsidR="00161A69" w:rsidRPr="003F108D" w:rsidRDefault="00161A69" w:rsidP="00161A69">
      <w:pPr>
        <w:pStyle w:val="ListParagraph"/>
        <w:numPr>
          <w:ilvl w:val="1"/>
          <w:numId w:val="1"/>
        </w:numPr>
        <w:rPr>
          <w:rFonts w:cstheme="minorHAnsi"/>
        </w:rPr>
      </w:pPr>
      <w:r w:rsidRPr="00707FA7">
        <w:rPr>
          <w:rFonts w:cstheme="minorHAnsi"/>
        </w:rPr>
        <w:t>TP credits may be determined</w:t>
      </w:r>
      <w:r w:rsidR="00F067A4" w:rsidRPr="00707FA7">
        <w:rPr>
          <w:rFonts w:cstheme="minorHAnsi"/>
        </w:rPr>
        <w:t>, at the discretion of the MPCA,</w:t>
      </w:r>
      <w:r w:rsidRPr="00707FA7">
        <w:rPr>
          <w:rFonts w:cstheme="minorHAnsi"/>
        </w:rPr>
        <w:t xml:space="preserve"> if the monitoring data used to calculate the credit meet the </w:t>
      </w:r>
      <w:r w:rsidRPr="003F108D">
        <w:rPr>
          <w:rFonts w:cstheme="minorHAnsi"/>
        </w:rPr>
        <w:t>following conditions.</w:t>
      </w:r>
      <w:r w:rsidR="00390037">
        <w:rPr>
          <w:rFonts w:cstheme="minorHAnsi"/>
        </w:rPr>
        <w:t xml:space="preserve"> Note: these analyses will be performed by MPCA staff.</w:t>
      </w:r>
    </w:p>
    <w:p w14:paraId="51063E79" w14:textId="112DA6AB" w:rsidR="00492BEB" w:rsidRPr="003F108D" w:rsidRDefault="00A938F2" w:rsidP="00FE6DE6">
      <w:pPr>
        <w:pStyle w:val="ListParagraph"/>
        <w:numPr>
          <w:ilvl w:val="2"/>
          <w:numId w:val="1"/>
        </w:numPr>
        <w:shd w:val="clear" w:color="auto" w:fill="FFFFFF"/>
        <w:spacing w:after="0"/>
        <w:rPr>
          <w:rFonts w:cstheme="minorHAnsi"/>
          <w:color w:val="333333"/>
          <w:sz w:val="21"/>
          <w:szCs w:val="21"/>
        </w:rPr>
      </w:pPr>
      <w:r w:rsidRPr="003F108D">
        <w:rPr>
          <w:rFonts w:cstheme="minorHAnsi"/>
        </w:rPr>
        <w:t>Median particle size must be 60 microns or smaller or analysis of TP removal of the mtd device</w:t>
      </w:r>
      <w:r w:rsidR="0088242A" w:rsidRPr="003F108D">
        <w:rPr>
          <w:rFonts w:cstheme="minorHAnsi"/>
        </w:rPr>
        <w:t xml:space="preserve"> </w:t>
      </w:r>
      <w:r w:rsidRPr="003F108D">
        <w:rPr>
          <w:rFonts w:cstheme="minorHAnsi"/>
        </w:rPr>
        <w:t>must be performed on the fraction that is 60 microns or smaller</w:t>
      </w:r>
      <w:r w:rsidR="00D222B1">
        <w:rPr>
          <w:rFonts w:cstheme="minorHAnsi"/>
        </w:rPr>
        <w:t>.</w:t>
      </w:r>
    </w:p>
    <w:p w14:paraId="3B14DBD7" w14:textId="385D9C02" w:rsidR="00A1546E" w:rsidRPr="00707FA7" w:rsidRDefault="00492BEB" w:rsidP="004E0109">
      <w:pPr>
        <w:pStyle w:val="ListParagraph"/>
        <w:numPr>
          <w:ilvl w:val="2"/>
          <w:numId w:val="1"/>
        </w:numPr>
        <w:shd w:val="clear" w:color="auto" w:fill="FFFFFF"/>
        <w:spacing w:after="225"/>
        <w:rPr>
          <w:rFonts w:cstheme="minorHAnsi"/>
        </w:rPr>
      </w:pPr>
      <w:r w:rsidRPr="003F108D">
        <w:rPr>
          <w:rFonts w:cstheme="minorHAnsi"/>
        </w:rPr>
        <w:t xml:space="preserve">Regression analysis must be performed using the equation </w:t>
      </w:r>
      <w:r w:rsidRPr="003F108D">
        <w:rPr>
          <w:rFonts w:cstheme="minorHAnsi"/>
          <w:b/>
          <w:bCs/>
          <w:i/>
          <w:iCs/>
          <w:color w:val="222222"/>
        </w:rPr>
        <w:t>Measured TP removal = a + b*predicted TP removal</w:t>
      </w:r>
      <w:r w:rsidRPr="003F108D">
        <w:rPr>
          <w:rFonts w:cstheme="minorHAnsi"/>
          <w:color w:val="222222"/>
        </w:rPr>
        <w:t xml:space="preserve"> and the resulting p-value of the regression must be 0.05 or less. Predicted TP removal </w:t>
      </w:r>
      <w:r w:rsidR="00F067A4" w:rsidRPr="003F108D">
        <w:rPr>
          <w:rFonts w:cstheme="minorHAnsi"/>
          <w:color w:val="222222"/>
        </w:rPr>
        <w:t>(</w:t>
      </w:r>
      <w:r w:rsidR="00F067A4" w:rsidRPr="003F108D">
        <w:rPr>
          <w:rStyle w:val="mi"/>
          <w:rFonts w:cstheme="minorHAnsi"/>
          <w:color w:val="333333"/>
          <w:bdr w:val="none" w:sz="0" w:space="0" w:color="auto" w:frame="1"/>
        </w:rPr>
        <w:t>TP</w:t>
      </w:r>
      <w:r w:rsidR="00F067A4" w:rsidRPr="003F108D">
        <w:rPr>
          <w:rStyle w:val="mi"/>
          <w:rFonts w:cstheme="minorHAnsi"/>
          <w:color w:val="333333"/>
          <w:bdr w:val="none" w:sz="0" w:space="0" w:color="auto" w:frame="1"/>
          <w:vertAlign w:val="subscript"/>
        </w:rPr>
        <w:t>R</w:t>
      </w:r>
      <w:r w:rsidR="00F067A4" w:rsidRPr="003F108D">
        <w:rPr>
          <w:rFonts w:cstheme="minorHAnsi"/>
          <w:color w:val="222222"/>
        </w:rPr>
        <w:t xml:space="preserve">) </w:t>
      </w:r>
      <w:r w:rsidRPr="003F108D">
        <w:rPr>
          <w:rFonts w:cstheme="minorHAnsi"/>
          <w:color w:val="222222"/>
        </w:rPr>
        <w:t xml:space="preserve">is given by the equation </w:t>
      </w:r>
      <w:r w:rsidRPr="003F108D">
        <w:rPr>
          <w:rStyle w:val="mi"/>
          <w:rFonts w:cstheme="minorHAnsi"/>
          <w:color w:val="333333"/>
          <w:bdr w:val="none" w:sz="0" w:space="0" w:color="auto" w:frame="1"/>
        </w:rPr>
        <w:t>TP</w:t>
      </w:r>
      <w:r w:rsidRPr="003F108D">
        <w:rPr>
          <w:rStyle w:val="mi"/>
          <w:rFonts w:cstheme="minorHAnsi"/>
          <w:color w:val="333333"/>
          <w:bdr w:val="none" w:sz="0" w:space="0" w:color="auto" w:frame="1"/>
          <w:vertAlign w:val="subscript"/>
        </w:rPr>
        <w:t>R</w:t>
      </w:r>
      <w:r w:rsidRPr="003F108D">
        <w:rPr>
          <w:rStyle w:val="mo"/>
          <w:rFonts w:cstheme="minorHAnsi"/>
          <w:color w:val="333333"/>
          <w:bdr w:val="none" w:sz="0" w:space="0" w:color="auto" w:frame="1"/>
        </w:rPr>
        <w:t>=</w:t>
      </w:r>
      <w:r w:rsidR="003F108D" w:rsidRPr="003F108D">
        <w:rPr>
          <w:rStyle w:val="mo"/>
          <w:rFonts w:cstheme="minorHAnsi"/>
          <w:color w:val="333333"/>
          <w:bdr w:val="none" w:sz="0" w:space="0" w:color="auto" w:frame="1"/>
        </w:rPr>
        <w:t>[</w:t>
      </w:r>
      <w:r w:rsidR="00534557" w:rsidRPr="003F108D">
        <w:rPr>
          <w:rStyle w:val="mo"/>
          <w:rFonts w:cstheme="minorHAnsi"/>
          <w:color w:val="333333"/>
          <w:bdr w:val="none" w:sz="0" w:space="0" w:color="auto" w:frame="1"/>
        </w:rPr>
        <w:t>(</w:t>
      </w:r>
      <w:r w:rsidRPr="003F108D">
        <w:rPr>
          <w:rStyle w:val="mi"/>
          <w:rFonts w:cstheme="minorHAnsi"/>
          <w:color w:val="333333"/>
          <w:bdr w:val="none" w:sz="0" w:space="0" w:color="auto" w:frame="1"/>
        </w:rPr>
        <w:t>PP</w:t>
      </w:r>
      <w:r w:rsidRPr="003F108D">
        <w:rPr>
          <w:rStyle w:val="mi"/>
          <w:rFonts w:cstheme="minorHAnsi"/>
          <w:color w:val="333333"/>
          <w:bdr w:val="none" w:sz="0" w:space="0" w:color="auto" w:frame="1"/>
          <w:vertAlign w:val="subscript"/>
        </w:rPr>
        <w:t>F</w:t>
      </w:r>
      <w:r w:rsidRPr="003F108D">
        <w:rPr>
          <w:rStyle w:val="mo"/>
          <w:rFonts w:ascii="Cambria Math" w:hAnsi="Cambria Math" w:cs="Cambria Math"/>
          <w:color w:val="333333"/>
          <w:bdr w:val="none" w:sz="0" w:space="0" w:color="auto" w:frame="1"/>
        </w:rPr>
        <w:t>∗</w:t>
      </w:r>
      <w:r w:rsidRPr="003F108D">
        <w:rPr>
          <w:rStyle w:val="mi"/>
          <w:rFonts w:cstheme="minorHAnsi"/>
          <w:color w:val="333333"/>
          <w:bdr w:val="none" w:sz="0" w:space="0" w:color="auto" w:frame="1"/>
        </w:rPr>
        <w:t>TSS</w:t>
      </w:r>
      <w:r w:rsidRPr="003F108D">
        <w:rPr>
          <w:rStyle w:val="mi"/>
          <w:rFonts w:cstheme="minorHAnsi"/>
          <w:color w:val="333333"/>
          <w:bdr w:val="none" w:sz="0" w:space="0" w:color="auto" w:frame="1"/>
          <w:vertAlign w:val="subscript"/>
        </w:rPr>
        <w:t>R</w:t>
      </w:r>
      <w:r w:rsidR="00534557" w:rsidRP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534557" w:rsidRP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3F108D" w:rsidRPr="003F108D">
        <w:rPr>
          <w:rStyle w:val="mjxassistivemathml"/>
          <w:rFonts w:cstheme="minorHAnsi"/>
          <w:color w:val="333333"/>
          <w:bdr w:val="none" w:sz="0" w:space="0" w:color="auto" w:frame="1"/>
        </w:rPr>
        <w:t>(</w:t>
      </w:r>
      <w:r w:rsidR="00534557" w:rsidRP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sidRP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sidRPr="003F108D">
        <w:rPr>
          <w:rStyle w:val="mjxassistivemathml"/>
          <w:rFonts w:cstheme="minorHAnsi"/>
          <w:color w:val="333333"/>
          <w:bdr w:val="none" w:sz="0" w:space="0" w:color="auto" w:frame="1"/>
        </w:rPr>
        <w:t>)]</w:t>
      </w:r>
      <w:r w:rsidR="00534557">
        <w:rPr>
          <w:rStyle w:val="mjxassistivemathml"/>
          <w:rFonts w:cstheme="minorHAnsi"/>
          <w:color w:val="333333"/>
          <w:bdr w:val="none" w:sz="0" w:space="0" w:color="auto" w:frame="1"/>
        </w:rPr>
        <w:t xml:space="preserve"> </w:t>
      </w:r>
      <w:r w:rsidRPr="00707FA7">
        <w:rPr>
          <w:rFonts w:cstheme="minorHAnsi"/>
          <w:color w:val="333333"/>
        </w:rPr>
        <w:t>where PP</w:t>
      </w:r>
      <w:r w:rsidRPr="00707FA7">
        <w:rPr>
          <w:rFonts w:cstheme="minorHAnsi"/>
          <w:color w:val="333333"/>
          <w:vertAlign w:val="subscript"/>
        </w:rPr>
        <w:t>F</w:t>
      </w:r>
      <w:r w:rsidRPr="00707FA7">
        <w:rPr>
          <w:rFonts w:cstheme="minorHAnsi"/>
          <w:color w:val="333333"/>
        </w:rPr>
        <w:t> is the fraction of TP in particulate form</w:t>
      </w:r>
      <w:r w:rsidR="003F108D">
        <w:rPr>
          <w:rFonts w:cstheme="minorHAnsi"/>
          <w:color w:val="333333"/>
        </w:rPr>
        <w:t xml:space="preserve">, </w:t>
      </w:r>
      <w:r w:rsidRPr="00707FA7">
        <w:rPr>
          <w:rFonts w:cstheme="minorHAnsi"/>
          <w:color w:val="333333"/>
        </w:rPr>
        <w:t>TSS</w:t>
      </w:r>
      <w:r w:rsidRPr="00707FA7">
        <w:rPr>
          <w:rFonts w:cstheme="minorHAnsi"/>
          <w:color w:val="333333"/>
          <w:vertAlign w:val="subscript"/>
        </w:rPr>
        <w:t>R</w:t>
      </w:r>
      <w:r w:rsidRPr="00707FA7">
        <w:rPr>
          <w:rFonts w:cstheme="minorHAnsi"/>
          <w:color w:val="333333"/>
        </w:rPr>
        <w:t> is the removal percent for TSS</w:t>
      </w:r>
      <w:r w:rsidR="003F108D">
        <w:rPr>
          <w:rFonts w:cstheme="minorHAnsi"/>
          <w:color w:val="333333"/>
        </w:rPr>
        <w:t xml:space="preserve">,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Pr>
          <w:rFonts w:cstheme="minorHAnsi"/>
          <w:color w:val="333333"/>
        </w:rPr>
        <w:t xml:space="preserve"> is the fraction of TP in dissolved form, and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is the removal percent for dissolved phosphorus</w:t>
      </w:r>
      <w:r w:rsidRPr="00707FA7">
        <w:rPr>
          <w:rFonts w:cstheme="minorHAnsi"/>
          <w:color w:val="333333"/>
        </w:rPr>
        <w:t>.</w:t>
      </w:r>
      <w:r w:rsidR="003F108D">
        <w:rPr>
          <w:rFonts w:cstheme="minorHAnsi"/>
          <w:color w:val="333333"/>
        </w:rPr>
        <w:t xml:space="preserve"> Unless otherwise specified,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w:t>
      </w:r>
      <w:r w:rsidR="00390037">
        <w:rPr>
          <w:rFonts w:cstheme="minorHAnsi"/>
          <w:color w:val="333333"/>
        </w:rPr>
        <w:t xml:space="preserve">is </w:t>
      </w:r>
      <w:r w:rsidR="003F108D">
        <w:rPr>
          <w:rFonts w:cstheme="minorHAnsi"/>
          <w:color w:val="333333"/>
        </w:rPr>
        <w:t>assumed to be 0.</w:t>
      </w:r>
      <w:r w:rsidR="00390037">
        <w:rPr>
          <w:rFonts w:cstheme="minorHAnsi"/>
          <w:color w:val="333333"/>
        </w:rPr>
        <w:t xml:space="preserve"> In assessing the results of this analysis, the slope (b) should approximate 1. </w:t>
      </w:r>
      <w:r w:rsidR="00D222B1">
        <w:rPr>
          <w:rFonts w:cstheme="minorHAnsi"/>
          <w:color w:val="333333"/>
        </w:rPr>
        <w:t>Note this regression may not be suitable if the device removes DP.</w:t>
      </w:r>
      <w:r w:rsidR="00B86E76">
        <w:rPr>
          <w:rFonts w:cstheme="minorHAnsi"/>
          <w:color w:val="333333"/>
        </w:rPr>
        <w:t xml:space="preserve"> See Appendix 1 for an example calculation.</w:t>
      </w:r>
    </w:p>
    <w:p w14:paraId="3FD91AF5" w14:textId="50DDF232" w:rsidR="00A1546E" w:rsidRPr="00707FA7" w:rsidRDefault="00A1546E" w:rsidP="00A1546E">
      <w:pPr>
        <w:pStyle w:val="ListParagraph"/>
        <w:numPr>
          <w:ilvl w:val="1"/>
          <w:numId w:val="1"/>
        </w:numPr>
        <w:rPr>
          <w:rFonts w:cstheme="minorHAnsi"/>
        </w:rPr>
      </w:pPr>
      <w:r w:rsidRPr="00707FA7">
        <w:rPr>
          <w:rFonts w:cstheme="minorHAnsi"/>
        </w:rPr>
        <w:t>Tiered credits</w:t>
      </w:r>
      <w:r w:rsidR="008F5CA8">
        <w:rPr>
          <w:rFonts w:cstheme="minorHAnsi"/>
        </w:rPr>
        <w:t xml:space="preserve"> for TP are determined as follows.</w:t>
      </w:r>
    </w:p>
    <w:p w14:paraId="79D6E85F" w14:textId="203F7C91" w:rsidR="00A1546E" w:rsidRPr="00707FA7" w:rsidRDefault="00A1546E" w:rsidP="00A1546E">
      <w:pPr>
        <w:pStyle w:val="ListParagraph"/>
        <w:numPr>
          <w:ilvl w:val="2"/>
          <w:numId w:val="1"/>
        </w:numPr>
        <w:rPr>
          <w:rFonts w:cstheme="minorHAnsi"/>
        </w:rPr>
      </w:pPr>
      <w:r w:rsidRPr="00707FA7">
        <w:rPr>
          <w:rFonts w:cstheme="minorHAnsi"/>
        </w:rPr>
        <w:t>The Tier 1 TP credit equals 50%</w:t>
      </w:r>
    </w:p>
    <w:p w14:paraId="6467AD4F" w14:textId="63B2E3EE" w:rsidR="00A1546E" w:rsidRDefault="00A1546E" w:rsidP="00A1546E">
      <w:pPr>
        <w:pStyle w:val="ListParagraph"/>
        <w:numPr>
          <w:ilvl w:val="2"/>
          <w:numId w:val="1"/>
        </w:numPr>
        <w:rPr>
          <w:rFonts w:cstheme="minorHAnsi"/>
        </w:rPr>
      </w:pPr>
      <w:r w:rsidRPr="00534557">
        <w:rPr>
          <w:rFonts w:cstheme="minorHAnsi"/>
        </w:rPr>
        <w:t>The Tier 2 TP credit equals</w:t>
      </w:r>
      <w:r w:rsidR="00E84332">
        <w:rPr>
          <w:rFonts w:cstheme="minorHAnsi"/>
        </w:rPr>
        <w:t xml:space="preserve"> the lower of two val</w:t>
      </w:r>
      <w:r w:rsidR="00D51250">
        <w:rPr>
          <w:rFonts w:cstheme="minorHAnsi"/>
        </w:rPr>
        <w:t>u</w:t>
      </w:r>
      <w:r w:rsidR="00E84332">
        <w:rPr>
          <w:rFonts w:cstheme="minorHAnsi"/>
        </w:rPr>
        <w:t xml:space="preserve">es: i) </w:t>
      </w:r>
      <w:r w:rsidRPr="00534557">
        <w:rPr>
          <w:rFonts w:cstheme="minorHAnsi"/>
        </w:rPr>
        <w:t>the lower 90% confidence limit for samples with influent concentrations between 0.1 and 0.5 mg/L, calculated using Washington TAPE’s Bootstrap Calculator,</w:t>
      </w:r>
      <w:r w:rsidR="00E84332">
        <w:rPr>
          <w:rFonts w:cstheme="minorHAnsi"/>
        </w:rPr>
        <w:t xml:space="preserve"> or ii) </w:t>
      </w:r>
      <w:r w:rsidR="00E84332" w:rsidRPr="00534557">
        <w:rPr>
          <w:rFonts w:cstheme="minorHAnsi"/>
        </w:rPr>
        <w:t>the lower 90% confidence limit for</w:t>
      </w:r>
      <w:r w:rsidR="00E84332">
        <w:rPr>
          <w:rFonts w:cstheme="minorHAnsi"/>
        </w:rPr>
        <w:t xml:space="preserve"> samples with influent concentrations between </w:t>
      </w:r>
      <w:r w:rsidR="00167BBD">
        <w:rPr>
          <w:rFonts w:cstheme="minorHAnsi"/>
        </w:rPr>
        <w:t>the 5</w:t>
      </w:r>
      <w:r w:rsidR="00167BBD" w:rsidRPr="00167BBD">
        <w:rPr>
          <w:rFonts w:cstheme="minorHAnsi"/>
          <w:vertAlign w:val="superscript"/>
        </w:rPr>
        <w:t>th</w:t>
      </w:r>
      <w:r w:rsidR="00167BBD">
        <w:rPr>
          <w:rFonts w:cstheme="minorHAnsi"/>
        </w:rPr>
        <w:t xml:space="preserve"> percentile TP concentration, </w:t>
      </w:r>
      <w:hyperlink r:id="rId11" w:anchor="TP_and_TSS_credits" w:history="1">
        <w:r w:rsidR="00167BBD" w:rsidRPr="00F139C7">
          <w:rPr>
            <w:rStyle w:val="Hyperlink"/>
            <w:rFonts w:cstheme="minorHAnsi"/>
          </w:rPr>
          <w:t>as defined in the Minnesota Stormwater Manual</w:t>
        </w:r>
      </w:hyperlink>
      <w:r w:rsidR="00167BBD">
        <w:rPr>
          <w:rFonts w:cstheme="minorHAnsi"/>
        </w:rPr>
        <w:t xml:space="preserve">, </w:t>
      </w:r>
      <w:r w:rsidR="00E84332" w:rsidRPr="00534557">
        <w:rPr>
          <w:rFonts w:cstheme="minorHAnsi"/>
        </w:rPr>
        <w:t>calculated using Washington TAPE’s Bootstrap Calculator</w:t>
      </w:r>
      <w:r w:rsidR="00E84332">
        <w:rPr>
          <w:rFonts w:cstheme="minorHAnsi"/>
        </w:rPr>
        <w:t>.</w:t>
      </w:r>
      <w:r w:rsidR="00167BBD">
        <w:rPr>
          <w:rFonts w:cstheme="minorHAnsi"/>
        </w:rPr>
        <w:t xml:space="preserve"> </w:t>
      </w:r>
      <w:r w:rsidR="00E84332">
        <w:rPr>
          <w:rFonts w:cstheme="minorHAnsi"/>
        </w:rPr>
        <w:t xml:space="preserve">The Tier 2 TP credit </w:t>
      </w:r>
      <w:r w:rsidRPr="00534557">
        <w:rPr>
          <w:rFonts w:cstheme="minorHAnsi"/>
        </w:rPr>
        <w:t>cannot exceed 60%.</w:t>
      </w:r>
    </w:p>
    <w:p w14:paraId="47CA6A98" w14:textId="3E1747BB" w:rsidR="00525966" w:rsidRPr="00534557" w:rsidRDefault="00525966" w:rsidP="00A1546E">
      <w:pPr>
        <w:pStyle w:val="ListParagraph"/>
        <w:numPr>
          <w:ilvl w:val="2"/>
          <w:numId w:val="1"/>
        </w:numPr>
        <w:rPr>
          <w:rFonts w:cstheme="minorHAnsi"/>
        </w:rPr>
      </w:pPr>
      <w:r>
        <w:rPr>
          <w:rFonts w:cstheme="minorHAnsi"/>
        </w:rPr>
        <w:t xml:space="preserve">If the Tier 2 TP credit from 4.b.ii is less than 50%, </w:t>
      </w:r>
      <w:r w:rsidR="000A3068">
        <w:rPr>
          <w:rFonts w:cstheme="minorHAnsi"/>
        </w:rPr>
        <w:t>the MPCA may</w:t>
      </w:r>
      <w:r>
        <w:rPr>
          <w:rFonts w:cstheme="minorHAnsi"/>
        </w:rPr>
        <w:t xml:space="preserve"> calculate TP removal using</w:t>
      </w:r>
      <w:r w:rsidRPr="00525966">
        <w:rPr>
          <w:rFonts w:cstheme="minorHAnsi"/>
          <w:color w:val="222222"/>
        </w:rPr>
        <w:t xml:space="preserve"> </w:t>
      </w:r>
      <w:r w:rsidRPr="003F108D">
        <w:rPr>
          <w:rFonts w:cstheme="minorHAnsi"/>
          <w:color w:val="222222"/>
        </w:rPr>
        <w:t xml:space="preserve">the equation </w:t>
      </w:r>
      <w:r w:rsidRPr="003F108D">
        <w:rPr>
          <w:rStyle w:val="mi"/>
          <w:rFonts w:cstheme="minorHAnsi"/>
          <w:color w:val="333333"/>
          <w:bdr w:val="none" w:sz="0" w:space="0" w:color="auto" w:frame="1"/>
        </w:rPr>
        <w:t>TP</w:t>
      </w:r>
      <w:r w:rsidRPr="003F108D">
        <w:rPr>
          <w:rStyle w:val="mi"/>
          <w:rFonts w:cstheme="minorHAnsi"/>
          <w:color w:val="333333"/>
          <w:bdr w:val="none" w:sz="0" w:space="0" w:color="auto" w:frame="1"/>
          <w:vertAlign w:val="subscript"/>
        </w:rPr>
        <w:t>R</w:t>
      </w:r>
      <w:r w:rsidRPr="003F108D">
        <w:rPr>
          <w:rStyle w:val="mo"/>
          <w:rFonts w:cstheme="minorHAnsi"/>
          <w:color w:val="333333"/>
          <w:bdr w:val="none" w:sz="0" w:space="0" w:color="auto" w:frame="1"/>
        </w:rPr>
        <w:t>=(</w:t>
      </w:r>
      <w:r w:rsidRPr="003F108D">
        <w:rPr>
          <w:rStyle w:val="mi"/>
          <w:rFonts w:cstheme="minorHAnsi"/>
          <w:color w:val="333333"/>
          <w:bdr w:val="none" w:sz="0" w:space="0" w:color="auto" w:frame="1"/>
        </w:rPr>
        <w:t>PP</w:t>
      </w:r>
      <w:r w:rsidRPr="003F108D">
        <w:rPr>
          <w:rStyle w:val="mi"/>
          <w:rFonts w:cstheme="minorHAnsi"/>
          <w:color w:val="333333"/>
          <w:bdr w:val="none" w:sz="0" w:space="0" w:color="auto" w:frame="1"/>
          <w:vertAlign w:val="subscript"/>
        </w:rPr>
        <w:t>F</w:t>
      </w:r>
      <w:r w:rsidRPr="003F108D">
        <w:rPr>
          <w:rStyle w:val="mo"/>
          <w:rFonts w:ascii="Cambria Math" w:hAnsi="Cambria Math" w:cs="Cambria Math"/>
          <w:color w:val="333333"/>
          <w:bdr w:val="none" w:sz="0" w:space="0" w:color="auto" w:frame="1"/>
        </w:rPr>
        <w:t>∗</w:t>
      </w:r>
      <w:r w:rsidRPr="003F108D">
        <w:rPr>
          <w:rStyle w:val="mi"/>
          <w:rFonts w:cstheme="minorHAnsi"/>
          <w:color w:val="333333"/>
          <w:bdr w:val="none" w:sz="0" w:space="0" w:color="auto" w:frame="1"/>
        </w:rPr>
        <w:t>TSS</w:t>
      </w:r>
      <w:r w:rsidRPr="003F108D">
        <w:rPr>
          <w:rStyle w:val="mi"/>
          <w:rFonts w:cstheme="minorHAnsi"/>
          <w:color w:val="333333"/>
          <w:bdr w:val="none" w:sz="0" w:space="0" w:color="auto" w:frame="1"/>
          <w:vertAlign w:val="subscript"/>
        </w:rPr>
        <w:t>R</w:t>
      </w:r>
      <w:r w:rsidRP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Pr>
          <w:rStyle w:val="mjxassistivemathml"/>
          <w:rFonts w:cstheme="minorHAnsi"/>
          <w:color w:val="333333"/>
          <w:bdr w:val="none" w:sz="0" w:space="0" w:color="auto" w:frame="1"/>
        </w:rPr>
        <w:t>(0.75</w:t>
      </w:r>
      <w:r w:rsidRPr="003F108D">
        <w:rPr>
          <w:rStyle w:val="mo"/>
          <w:rFonts w:ascii="Cambria Math" w:hAnsi="Cambria Math" w:cs="Cambria Math"/>
          <w:color w:val="333333"/>
          <w:bdr w:val="none" w:sz="0" w:space="0" w:color="auto" w:frame="1"/>
        </w:rPr>
        <w:t>∗</w:t>
      </w:r>
      <w:r w:rsidRPr="003F108D">
        <w:rPr>
          <w:rStyle w:val="mi"/>
          <w:rFonts w:cstheme="minorHAnsi"/>
          <w:color w:val="333333"/>
          <w:bdr w:val="none" w:sz="0" w:space="0" w:color="auto" w:frame="1"/>
        </w:rPr>
        <w:t>TSS</w:t>
      </w:r>
      <w:r w:rsidRPr="003F108D">
        <w:rPr>
          <w:rStyle w:val="mi"/>
          <w:rFonts w:cstheme="minorHAnsi"/>
          <w:color w:val="333333"/>
          <w:bdr w:val="none" w:sz="0" w:space="0" w:color="auto" w:frame="1"/>
          <w:vertAlign w:val="subscript"/>
        </w:rPr>
        <w:t>R</w:t>
      </w:r>
      <w:r>
        <w:rPr>
          <w:rStyle w:val="mjxassistivemathml"/>
          <w:rFonts w:cstheme="minorHAnsi"/>
          <w:color w:val="333333"/>
          <w:bdr w:val="none" w:sz="0" w:space="0" w:color="auto" w:frame="1"/>
        </w:rPr>
        <w:t xml:space="preserve">) </w:t>
      </w:r>
      <w:r w:rsidRPr="00707FA7">
        <w:rPr>
          <w:rFonts w:cstheme="minorHAnsi"/>
          <w:color w:val="333333"/>
        </w:rPr>
        <w:t>where PP</w:t>
      </w:r>
      <w:r w:rsidRPr="00707FA7">
        <w:rPr>
          <w:rFonts w:cstheme="minorHAnsi"/>
          <w:color w:val="333333"/>
          <w:vertAlign w:val="subscript"/>
        </w:rPr>
        <w:t>F</w:t>
      </w:r>
      <w:r w:rsidRPr="00707FA7">
        <w:rPr>
          <w:rFonts w:cstheme="minorHAnsi"/>
          <w:color w:val="333333"/>
        </w:rPr>
        <w:t> is the fraction of TP in particulate form</w:t>
      </w:r>
      <w:r>
        <w:rPr>
          <w:rFonts w:cstheme="minorHAnsi"/>
          <w:color w:val="333333"/>
        </w:rPr>
        <w:t xml:space="preserve">, assumed to be 0.75 (75 percent) and </w:t>
      </w:r>
      <w:r w:rsidRPr="00707FA7">
        <w:rPr>
          <w:rFonts w:cstheme="minorHAnsi"/>
          <w:color w:val="333333"/>
        </w:rPr>
        <w:t>TSS</w:t>
      </w:r>
      <w:r w:rsidRPr="00707FA7">
        <w:rPr>
          <w:rFonts w:cstheme="minorHAnsi"/>
          <w:color w:val="333333"/>
          <w:vertAlign w:val="subscript"/>
        </w:rPr>
        <w:t>R</w:t>
      </w:r>
      <w:r w:rsidRPr="00707FA7">
        <w:rPr>
          <w:rFonts w:cstheme="minorHAnsi"/>
          <w:color w:val="333333"/>
        </w:rPr>
        <w:t xml:space="preserve"> is the </w:t>
      </w:r>
      <w:r w:rsidR="00115A0D">
        <w:rPr>
          <w:rFonts w:cstheme="minorHAnsi"/>
          <w:color w:val="333333"/>
        </w:rPr>
        <w:t xml:space="preserve">LCL </w:t>
      </w:r>
      <w:r w:rsidRPr="00707FA7">
        <w:rPr>
          <w:rFonts w:cstheme="minorHAnsi"/>
          <w:color w:val="333333"/>
        </w:rPr>
        <w:t>for TSS</w:t>
      </w:r>
      <w:r>
        <w:rPr>
          <w:rFonts w:cstheme="minorHAnsi"/>
          <w:color w:val="333333"/>
        </w:rPr>
        <w:t xml:space="preserve"> defined in item 3 above. If this value is less than 50%, no Tier 2 credit is given.</w:t>
      </w:r>
    </w:p>
    <w:p w14:paraId="13C93BBA" w14:textId="4B520A5B" w:rsidR="00A1546E" w:rsidRPr="00534557" w:rsidRDefault="00F139C7" w:rsidP="00A1546E">
      <w:pPr>
        <w:pStyle w:val="ListParagraph"/>
        <w:numPr>
          <w:ilvl w:val="2"/>
          <w:numId w:val="1"/>
        </w:numPr>
        <w:rPr>
          <w:rFonts w:cstheme="minorHAnsi"/>
        </w:rPr>
      </w:pPr>
      <w:r>
        <w:rPr>
          <w:rFonts w:cstheme="minorHAnsi"/>
        </w:rPr>
        <w:lastRenderedPageBreak/>
        <w:t>A</w:t>
      </w:r>
      <w:r w:rsidR="00A1546E" w:rsidRPr="00534557">
        <w:rPr>
          <w:rFonts w:cstheme="minorHAnsi"/>
        </w:rPr>
        <w:t xml:space="preserve"> Tier 3 TP credit </w:t>
      </w:r>
      <w:r w:rsidR="00F44BC8" w:rsidRPr="00534557">
        <w:rPr>
          <w:rFonts w:cstheme="minorHAnsi"/>
        </w:rPr>
        <w:t xml:space="preserve">may be based on </w:t>
      </w:r>
      <w:r w:rsidR="0063086F" w:rsidRPr="00534557">
        <w:rPr>
          <w:rFonts w:cstheme="minorHAnsi"/>
        </w:rPr>
        <w:t>any</w:t>
      </w:r>
      <w:r w:rsidR="00F44BC8" w:rsidRPr="00534557">
        <w:rPr>
          <w:rFonts w:cstheme="minorHAnsi"/>
        </w:rPr>
        <w:t xml:space="preserve"> of the following.</w:t>
      </w:r>
    </w:p>
    <w:p w14:paraId="3673B960" w14:textId="0BC96271" w:rsidR="00F44BC8" w:rsidRPr="00707FA7" w:rsidRDefault="00C07B42" w:rsidP="00F44BC8">
      <w:pPr>
        <w:pStyle w:val="ListParagraph"/>
        <w:numPr>
          <w:ilvl w:val="3"/>
          <w:numId w:val="1"/>
        </w:numPr>
        <w:rPr>
          <w:rFonts w:cstheme="minorHAnsi"/>
        </w:rPr>
      </w:pPr>
      <w:r>
        <w:rPr>
          <w:rFonts w:cstheme="minorHAnsi"/>
        </w:rPr>
        <w:t>If it exceeds 60%, t</w:t>
      </w:r>
      <w:r w:rsidR="00F44BC8" w:rsidRPr="00534557">
        <w:rPr>
          <w:rFonts w:cstheme="minorHAnsi"/>
        </w:rPr>
        <w:t xml:space="preserve">he </w:t>
      </w:r>
      <w:r w:rsidR="006047B0">
        <w:rPr>
          <w:rFonts w:cstheme="minorHAnsi"/>
        </w:rPr>
        <w:t xml:space="preserve">lower of </w:t>
      </w:r>
      <w:r>
        <w:rPr>
          <w:rFonts w:cstheme="minorHAnsi"/>
        </w:rPr>
        <w:t xml:space="preserve">a) </w:t>
      </w:r>
      <w:r w:rsidR="006047B0">
        <w:rPr>
          <w:rFonts w:cstheme="minorHAnsi"/>
        </w:rPr>
        <w:t>the two LCLs calculated in</w:t>
      </w:r>
      <w:r w:rsidR="00E84332">
        <w:rPr>
          <w:rFonts w:cstheme="minorHAnsi"/>
        </w:rPr>
        <w:t xml:space="preserve"> item 4.b.ii</w:t>
      </w:r>
      <w:r>
        <w:rPr>
          <w:rFonts w:cstheme="minorHAnsi"/>
        </w:rPr>
        <w:t xml:space="preserve"> or b) TP removal using the LCL for TSS, a PP:TP ratio of 0.75, and calculated by multiplying the TSS removal percent by the PP:TP ratio</w:t>
      </w:r>
      <w:r w:rsidR="00E84332">
        <w:rPr>
          <w:rFonts w:cstheme="minorHAnsi"/>
        </w:rPr>
        <w:t>, plus</w:t>
      </w:r>
      <w:r w:rsidR="00F44BC8" w:rsidRPr="00707FA7">
        <w:rPr>
          <w:rFonts w:cstheme="minorHAnsi"/>
        </w:rPr>
        <w:t xml:space="preserve"> specific design, construction, operation, maintenance, and assessment requirements described for the mtd device in the Minnesota Stormwater Manual. See the applicable mtd in </w:t>
      </w:r>
      <w:hyperlink r:id="rId12" w:anchor="Derivation_of_TP_and_TSS_credits_for_specific_mtds" w:history="1">
        <w:r w:rsidR="00F44BC8" w:rsidRPr="00707FA7">
          <w:rPr>
            <w:rStyle w:val="Hyperlink"/>
            <w:rFonts w:cstheme="minorHAnsi"/>
          </w:rPr>
          <w:t>this section of the manual</w:t>
        </w:r>
      </w:hyperlink>
      <w:r w:rsidR="00F44BC8" w:rsidRPr="00707FA7">
        <w:rPr>
          <w:rFonts w:cstheme="minorHAnsi"/>
        </w:rPr>
        <w:t>.</w:t>
      </w:r>
    </w:p>
    <w:p w14:paraId="771442EA" w14:textId="5CD9651D" w:rsidR="00F44BC8" w:rsidRPr="00707FA7" w:rsidRDefault="00C07B42" w:rsidP="00F44BC8">
      <w:pPr>
        <w:pStyle w:val="ListParagraph"/>
        <w:numPr>
          <w:ilvl w:val="3"/>
          <w:numId w:val="1"/>
        </w:numPr>
        <w:rPr>
          <w:rFonts w:cstheme="minorHAnsi"/>
        </w:rPr>
      </w:pPr>
      <w:r>
        <w:rPr>
          <w:rFonts w:cstheme="minorHAnsi"/>
        </w:rPr>
        <w:t>Up to a</w:t>
      </w:r>
      <w:r w:rsidR="00F44BC8" w:rsidRPr="00707FA7">
        <w:rPr>
          <w:rFonts w:cstheme="minorHAnsi"/>
        </w:rPr>
        <w:t xml:space="preserve"> 10% credit for dissolved phosphorus (DP) removal in addition to the Tier 2 credit if the device has a</w:t>
      </w:r>
      <w:r w:rsidR="0030691D">
        <w:rPr>
          <w:rFonts w:cstheme="minorHAnsi"/>
        </w:rPr>
        <w:t>n MPCA-approved</w:t>
      </w:r>
      <w:r w:rsidR="00F44BC8" w:rsidRPr="00707FA7">
        <w:rPr>
          <w:rFonts w:cstheme="minorHAnsi"/>
        </w:rPr>
        <w:t xml:space="preserve"> </w:t>
      </w:r>
      <w:r w:rsidR="0063086F" w:rsidRPr="00707FA7">
        <w:rPr>
          <w:rFonts w:cstheme="minorHAnsi"/>
        </w:rPr>
        <w:t>mechanism for permanently retaining dissolved phosphorus other than volume retention.</w:t>
      </w:r>
      <w:r w:rsidR="0030691D">
        <w:rPr>
          <w:rFonts w:cstheme="minorHAnsi"/>
        </w:rPr>
        <w:t xml:space="preserve"> The MPCA retains discretion at removal values for a specific device for DP based on available data.</w:t>
      </w:r>
    </w:p>
    <w:p w14:paraId="6395F94F" w14:textId="3932D642" w:rsidR="0063086F" w:rsidRPr="00707FA7" w:rsidRDefault="0063086F" w:rsidP="00F44BC8">
      <w:pPr>
        <w:pStyle w:val="ListParagraph"/>
        <w:numPr>
          <w:ilvl w:val="3"/>
          <w:numId w:val="1"/>
        </w:numPr>
        <w:rPr>
          <w:rFonts w:cstheme="minorHAnsi"/>
        </w:rPr>
      </w:pPr>
      <w:r w:rsidRPr="00707FA7">
        <w:rPr>
          <w:rFonts w:cstheme="minorHAnsi"/>
        </w:rPr>
        <w:t xml:space="preserve">A TP credit of 100% for runoff </w:t>
      </w:r>
      <w:r w:rsidR="0083535F">
        <w:rPr>
          <w:rFonts w:cstheme="minorHAnsi"/>
        </w:rPr>
        <w:t xml:space="preserve">permanently </w:t>
      </w:r>
      <w:r w:rsidRPr="00707FA7">
        <w:rPr>
          <w:rFonts w:cstheme="minorHAnsi"/>
        </w:rPr>
        <w:t xml:space="preserve">retained by the device plus the Tier 2 credit for runoff not retained. See Appendix </w:t>
      </w:r>
      <w:r w:rsidR="00B86E76">
        <w:rPr>
          <w:rFonts w:cstheme="minorHAnsi"/>
        </w:rPr>
        <w:t xml:space="preserve">1 </w:t>
      </w:r>
      <w:r w:rsidRPr="00707FA7">
        <w:rPr>
          <w:rFonts w:cstheme="minorHAnsi"/>
        </w:rPr>
        <w:t>for an example calculation.</w:t>
      </w:r>
      <w:r w:rsidR="00D222B1">
        <w:rPr>
          <w:rFonts w:cstheme="minorHAnsi"/>
        </w:rPr>
        <w:t xml:space="preserve"> At this time, the only volume retention mechanism credited is infiltration into the underlying subsoil.</w:t>
      </w:r>
      <w:r w:rsidR="0083535F">
        <w:rPr>
          <w:rFonts w:cstheme="minorHAnsi"/>
        </w:rPr>
        <w:t xml:space="preserve"> Infiltration must be calculated as an average annual volume infiltrated using a method approved by the MPCA.</w:t>
      </w:r>
    </w:p>
    <w:p w14:paraId="519E3459" w14:textId="61A3BEC7" w:rsidR="00E35AF1" w:rsidRPr="00707FA7" w:rsidRDefault="00E35AF1" w:rsidP="00E35AF1">
      <w:pPr>
        <w:pStyle w:val="ListParagraph"/>
        <w:numPr>
          <w:ilvl w:val="0"/>
          <w:numId w:val="1"/>
        </w:numPr>
        <w:rPr>
          <w:rFonts w:cstheme="minorHAnsi"/>
        </w:rPr>
      </w:pPr>
      <w:r w:rsidRPr="00707FA7">
        <w:rPr>
          <w:rFonts w:cstheme="minorHAnsi"/>
        </w:rPr>
        <w:t>Analysis methods</w:t>
      </w:r>
    </w:p>
    <w:p w14:paraId="61DACDB4" w14:textId="72186332" w:rsidR="00E35AF1" w:rsidRPr="00707FA7" w:rsidRDefault="00E35AF1" w:rsidP="00E35AF1">
      <w:pPr>
        <w:pStyle w:val="ListParagraph"/>
        <w:numPr>
          <w:ilvl w:val="1"/>
          <w:numId w:val="1"/>
        </w:numPr>
        <w:rPr>
          <w:rFonts w:cstheme="minorHAnsi"/>
        </w:rPr>
      </w:pPr>
      <w:r w:rsidRPr="00707FA7">
        <w:rPr>
          <w:rFonts w:cstheme="minorHAnsi"/>
        </w:rPr>
        <w:t>TAPE’s Bootstrap calculator is used to calculate lower confidence limits</w:t>
      </w:r>
    </w:p>
    <w:p w14:paraId="2CA2742B" w14:textId="268CE348" w:rsidR="00E35AF1" w:rsidRPr="00707FA7" w:rsidRDefault="00E35AF1" w:rsidP="00E35AF1">
      <w:pPr>
        <w:pStyle w:val="ListParagraph"/>
        <w:numPr>
          <w:ilvl w:val="1"/>
          <w:numId w:val="1"/>
        </w:numPr>
        <w:rPr>
          <w:rFonts w:cstheme="minorHAnsi"/>
        </w:rPr>
      </w:pPr>
      <w:r w:rsidRPr="00707FA7">
        <w:rPr>
          <w:rFonts w:cstheme="minorHAnsi"/>
        </w:rPr>
        <w:t>A value of half (1/2) the reporting limit is substituted for non-detections</w:t>
      </w:r>
    </w:p>
    <w:p w14:paraId="05F8153B" w14:textId="7E803073" w:rsidR="00E35AF1" w:rsidRPr="00707FA7" w:rsidRDefault="00E35AF1" w:rsidP="00E35AF1">
      <w:pPr>
        <w:pStyle w:val="ListParagraph"/>
        <w:numPr>
          <w:ilvl w:val="1"/>
          <w:numId w:val="1"/>
        </w:numPr>
        <w:rPr>
          <w:rFonts w:cstheme="minorHAnsi"/>
        </w:rPr>
      </w:pPr>
      <w:r w:rsidRPr="00707FA7">
        <w:rPr>
          <w:rFonts w:cstheme="minorHAnsi"/>
        </w:rPr>
        <w:t xml:space="preserve">Additional statistical analysis </w:t>
      </w:r>
      <w:r w:rsidR="00707FA7" w:rsidRPr="00707FA7">
        <w:rPr>
          <w:rFonts w:cstheme="minorHAnsi"/>
        </w:rPr>
        <w:t>may be performed at the discretion of the MPCA. The MPCA does not have an established data analysis protocol but will define the methods used in its data analysis when conducting additional analysis for a device. Examples of additional analysis include the following.</w:t>
      </w:r>
    </w:p>
    <w:p w14:paraId="11A8B678" w14:textId="2DB5F4D8" w:rsidR="00707FA7" w:rsidRPr="00592254" w:rsidRDefault="00707FA7" w:rsidP="00707FA7">
      <w:pPr>
        <w:pStyle w:val="ListParagraph"/>
        <w:numPr>
          <w:ilvl w:val="2"/>
          <w:numId w:val="1"/>
        </w:numPr>
        <w:rPr>
          <w:rFonts w:cstheme="minorHAnsi"/>
        </w:rPr>
      </w:pPr>
      <w:r w:rsidRPr="00707FA7">
        <w:rPr>
          <w:rFonts w:cstheme="minorHAnsi"/>
        </w:rPr>
        <w:t xml:space="preserve">Identifying outliers. An example calculation would be any </w:t>
      </w:r>
      <w:r w:rsidRPr="00707FA7">
        <w:rPr>
          <w:rFonts w:cstheme="minorHAnsi"/>
          <w:color w:val="404040"/>
          <w:shd w:val="clear" w:color="auto" w:fill="FFFFFF"/>
        </w:rPr>
        <w:t>data point that is more than 1.5 interquartile ranges (IQRs) below the 1st quartile, and 1.5 interquartile ranges above the 3rd quartile.</w:t>
      </w:r>
    </w:p>
    <w:p w14:paraId="387EC35C" w14:textId="1E27A1EF" w:rsidR="00592254" w:rsidRPr="00707FA7" w:rsidRDefault="00592254" w:rsidP="00707FA7">
      <w:pPr>
        <w:pStyle w:val="ListParagraph"/>
        <w:numPr>
          <w:ilvl w:val="2"/>
          <w:numId w:val="1"/>
        </w:numPr>
        <w:rPr>
          <w:rFonts w:cstheme="minorHAnsi"/>
        </w:rPr>
      </w:pPr>
      <w:r>
        <w:rPr>
          <w:rFonts w:cstheme="minorHAnsi"/>
          <w:color w:val="404040"/>
          <w:shd w:val="clear" w:color="auto" w:fill="FFFFFF"/>
        </w:rPr>
        <w:t>Group comparisons. An example would be comparing removal efficiencies of a device for TP inflow concentrations less than 0.1 mg/L with removal for TP inflow concentrations greater than 0.1 mg/L. MPCA will typically use nonparametric methods (e.g.</w:t>
      </w:r>
      <w:r w:rsidR="006F61D9">
        <w:rPr>
          <w:rFonts w:cstheme="minorHAnsi"/>
          <w:color w:val="404040"/>
          <w:shd w:val="clear" w:color="auto" w:fill="FFFFFF"/>
        </w:rPr>
        <w:t>,</w:t>
      </w:r>
      <w:r>
        <w:rPr>
          <w:rFonts w:cstheme="minorHAnsi"/>
          <w:color w:val="404040"/>
          <w:shd w:val="clear" w:color="auto" w:fill="FFFFFF"/>
        </w:rPr>
        <w:t xml:space="preserve"> ranks) for this type of analysis.</w:t>
      </w:r>
    </w:p>
    <w:p w14:paraId="0036634F" w14:textId="356BFDE2" w:rsidR="00A1546E" w:rsidRDefault="00A1546E" w:rsidP="0063086F">
      <w:pPr>
        <w:shd w:val="clear" w:color="auto" w:fill="FFFFFF"/>
        <w:spacing w:after="225"/>
        <w:rPr>
          <w:rFonts w:cstheme="minorHAnsi"/>
        </w:rPr>
      </w:pPr>
    </w:p>
    <w:p w14:paraId="0AF78BBD" w14:textId="7C7C71C6" w:rsidR="0063086F" w:rsidRDefault="0063086F" w:rsidP="0063086F">
      <w:pPr>
        <w:shd w:val="clear" w:color="auto" w:fill="FFFFFF"/>
        <w:spacing w:after="225"/>
        <w:rPr>
          <w:rFonts w:cstheme="minorHAnsi"/>
        </w:rPr>
      </w:pPr>
      <w:r>
        <w:rPr>
          <w:rFonts w:cstheme="minorHAnsi"/>
          <w:b/>
          <w:bCs/>
        </w:rPr>
        <w:t xml:space="preserve">Appendix </w:t>
      </w:r>
      <w:r w:rsidR="00592254">
        <w:rPr>
          <w:rFonts w:cstheme="minorHAnsi"/>
          <w:b/>
          <w:bCs/>
        </w:rPr>
        <w:t xml:space="preserve">1 </w:t>
      </w:r>
      <w:r>
        <w:rPr>
          <w:rFonts w:cstheme="minorHAnsi"/>
          <w:b/>
          <w:bCs/>
        </w:rPr>
        <w:t>– Example calculations</w:t>
      </w:r>
    </w:p>
    <w:p w14:paraId="482819C7" w14:textId="4118D540" w:rsidR="0063086F" w:rsidRDefault="00142688" w:rsidP="0063086F">
      <w:pPr>
        <w:pStyle w:val="ListParagraph"/>
        <w:numPr>
          <w:ilvl w:val="0"/>
          <w:numId w:val="2"/>
        </w:numPr>
        <w:shd w:val="clear" w:color="auto" w:fill="FFFFFF"/>
        <w:spacing w:after="225"/>
        <w:rPr>
          <w:rFonts w:cstheme="minorHAnsi"/>
        </w:rPr>
      </w:pPr>
      <w:r>
        <w:rPr>
          <w:rFonts w:cstheme="minorHAnsi"/>
        </w:rPr>
        <w:t xml:space="preserve">TP calculation if an </w:t>
      </w:r>
      <w:r w:rsidR="0063086F">
        <w:rPr>
          <w:rFonts w:cstheme="minorHAnsi"/>
        </w:rPr>
        <w:t>mtd retains runoff volume. The credit is given by</w:t>
      </w:r>
    </w:p>
    <w:p w14:paraId="6AFC7A9A" w14:textId="199ECC41" w:rsidR="0063086F" w:rsidRDefault="0063086F" w:rsidP="0063086F">
      <w:pPr>
        <w:shd w:val="clear" w:color="auto" w:fill="FFFFFF"/>
        <w:spacing w:after="225"/>
        <w:ind w:left="720"/>
        <w:rPr>
          <w:rFonts w:cstheme="minorHAnsi"/>
        </w:rPr>
      </w:pPr>
      <w:r>
        <w:rPr>
          <w:rFonts w:cstheme="minorHAnsi"/>
        </w:rPr>
        <w:t>Tier 3 credit = (Fraction of annual volume retained X 100) + (fraction of volume not retained X Tier 2 credit)</w:t>
      </w:r>
    </w:p>
    <w:p w14:paraId="7C0E8DD6" w14:textId="559BF9E1" w:rsidR="0063086F" w:rsidRDefault="0063086F" w:rsidP="0063086F">
      <w:pPr>
        <w:shd w:val="clear" w:color="auto" w:fill="FFFFFF"/>
        <w:spacing w:after="225"/>
        <w:ind w:left="720"/>
        <w:rPr>
          <w:rFonts w:cstheme="minorHAnsi"/>
        </w:rPr>
      </w:pPr>
      <w:r>
        <w:rPr>
          <w:rFonts w:cstheme="minorHAnsi"/>
        </w:rPr>
        <w:t>Example: A device retains 20% of the annual runoff volume and has a Tier 2 credit of 58%.</w:t>
      </w:r>
    </w:p>
    <w:p w14:paraId="5BCE1A22" w14:textId="0E06AB76" w:rsidR="0063086F" w:rsidRPr="0063086F" w:rsidRDefault="0063086F" w:rsidP="0063086F">
      <w:pPr>
        <w:shd w:val="clear" w:color="auto" w:fill="FFFFFF"/>
        <w:spacing w:after="225"/>
        <w:ind w:left="720"/>
        <w:rPr>
          <w:rFonts w:cstheme="minorHAnsi"/>
        </w:rPr>
      </w:pPr>
      <w:r>
        <w:rPr>
          <w:rFonts w:cstheme="minorHAnsi"/>
        </w:rPr>
        <w:t>TP credit = (</w:t>
      </w:r>
      <w:r w:rsidR="00E355E7">
        <w:rPr>
          <w:rFonts w:cstheme="minorHAnsi"/>
        </w:rPr>
        <w:t>0.2*100) + (0.8*58) = 66% = Tier 3 credit</w:t>
      </w:r>
    </w:p>
    <w:p w14:paraId="5588D89E" w14:textId="763055D4" w:rsidR="0063086F" w:rsidRDefault="00142688" w:rsidP="0063086F">
      <w:pPr>
        <w:pStyle w:val="ListParagraph"/>
        <w:numPr>
          <w:ilvl w:val="0"/>
          <w:numId w:val="2"/>
        </w:numPr>
        <w:shd w:val="clear" w:color="auto" w:fill="FFFFFF"/>
        <w:spacing w:after="225"/>
        <w:rPr>
          <w:rFonts w:cstheme="minorHAnsi"/>
        </w:rPr>
      </w:pPr>
      <w:r>
        <w:rPr>
          <w:rFonts w:cstheme="minorHAnsi"/>
        </w:rPr>
        <w:lastRenderedPageBreak/>
        <w:t>Removal efficiency = (Influent concentration - Effluent concentration)/Influent concentration * 100</w:t>
      </w:r>
      <w:r w:rsidR="00EE7EAF">
        <w:rPr>
          <w:rFonts w:cstheme="minorHAnsi"/>
        </w:rPr>
        <w:t>.</w:t>
      </w:r>
    </w:p>
    <w:p w14:paraId="3759AC96" w14:textId="1FD72455" w:rsidR="00EE7EAF" w:rsidRDefault="00EE7EAF" w:rsidP="00EE7EAF">
      <w:pPr>
        <w:shd w:val="clear" w:color="auto" w:fill="FFFFFF"/>
        <w:spacing w:after="225"/>
        <w:ind w:left="720"/>
        <w:rPr>
          <w:rFonts w:cstheme="minorHAnsi"/>
        </w:rPr>
      </w:pPr>
      <w:r>
        <w:rPr>
          <w:rFonts w:cstheme="minorHAnsi"/>
        </w:rPr>
        <w:t>Example: Influent concentration = 0.18 mg/L; effluent concentration = 0.067 mg/L</w:t>
      </w:r>
    </w:p>
    <w:p w14:paraId="1B998123" w14:textId="40C6E095" w:rsidR="00EE7EAF" w:rsidRDefault="00EE7EAF" w:rsidP="00EE7EAF">
      <w:pPr>
        <w:shd w:val="clear" w:color="auto" w:fill="FFFFFF"/>
        <w:spacing w:after="225"/>
        <w:ind w:left="720"/>
        <w:rPr>
          <w:rFonts w:cstheme="minorHAnsi"/>
        </w:rPr>
      </w:pPr>
      <w:r>
        <w:rPr>
          <w:rFonts w:cstheme="minorHAnsi"/>
        </w:rPr>
        <w:t>Removal efficiency = (0.18 – 0.067)/0.18 * 100 = 62.8%</w:t>
      </w:r>
    </w:p>
    <w:p w14:paraId="28A288CD" w14:textId="4A9AFB96" w:rsidR="00873865" w:rsidRDefault="00873865" w:rsidP="00873865">
      <w:pPr>
        <w:pStyle w:val="ListParagraph"/>
        <w:numPr>
          <w:ilvl w:val="0"/>
          <w:numId w:val="2"/>
        </w:numPr>
        <w:shd w:val="clear" w:color="auto" w:fill="FFFFFF"/>
        <w:spacing w:after="225"/>
        <w:rPr>
          <w:rFonts w:cstheme="minorHAnsi"/>
        </w:rPr>
      </w:pPr>
      <w:r>
        <w:rPr>
          <w:rFonts w:cstheme="minorHAnsi"/>
        </w:rPr>
        <w:t>Predicted vs. measured TP removal</w:t>
      </w:r>
    </w:p>
    <w:p w14:paraId="36B2929E" w14:textId="59C4696E" w:rsidR="00873865" w:rsidRDefault="00873865" w:rsidP="00873865">
      <w:pPr>
        <w:shd w:val="clear" w:color="auto" w:fill="FFFFFF"/>
        <w:spacing w:after="225"/>
        <w:ind w:left="720"/>
        <w:rPr>
          <w:rFonts w:cstheme="minorHAnsi"/>
        </w:rPr>
      </w:pPr>
      <w:r>
        <w:rPr>
          <w:rFonts w:cstheme="minorHAnsi"/>
        </w:rPr>
        <w:t>Assume the following dataset. Predicted TP removal = TSS * PP:TP ratio. The regression is TP removal = a + b*Predicted TP removal. The regression yields a p-value of 0.000017 with a slope of 1.24</w:t>
      </w:r>
      <w:r w:rsidR="008A7A60">
        <w:rPr>
          <w:rFonts w:cstheme="minorHAnsi"/>
        </w:rPr>
        <w:t xml:space="preserve"> (R</w:t>
      </w:r>
      <w:r w:rsidR="008A7A60" w:rsidRPr="00725DEE">
        <w:rPr>
          <w:rFonts w:cstheme="minorHAnsi"/>
          <w:vertAlign w:val="superscript"/>
        </w:rPr>
        <w:t>2</w:t>
      </w:r>
      <w:r w:rsidR="008A7A60">
        <w:rPr>
          <w:rFonts w:cstheme="minorHAnsi"/>
        </w:rPr>
        <w:t xml:space="preserve"> = 0.63</w:t>
      </w:r>
      <w:r w:rsidR="00725DEE">
        <w:rPr>
          <w:rFonts w:cstheme="minorHAnsi"/>
        </w:rPr>
        <w:t>; intercept = -32.7</w:t>
      </w:r>
      <w:r w:rsidR="008A7A60">
        <w:rPr>
          <w:rFonts w:cstheme="minorHAnsi"/>
        </w:rPr>
        <w:t>)</w:t>
      </w:r>
      <w:r>
        <w:rPr>
          <w:rFonts w:cstheme="minorHAnsi"/>
        </w:rPr>
        <w:t>. Assuming the intercept (a) is 0, the p-value id 10</w:t>
      </w:r>
      <w:r w:rsidRPr="00873865">
        <w:rPr>
          <w:rFonts w:cstheme="minorHAnsi"/>
          <w:vertAlign w:val="superscript"/>
        </w:rPr>
        <w:t>-13</w:t>
      </w:r>
      <w:r>
        <w:rPr>
          <w:rFonts w:cstheme="minorHAnsi"/>
        </w:rPr>
        <w:t xml:space="preserve"> with a slope of 0.82. The plot is shown below the table.</w:t>
      </w:r>
      <w:r w:rsidR="008A7A60">
        <w:rPr>
          <w:rFonts w:cstheme="minorHAnsi"/>
        </w:rPr>
        <w:t xml:space="preserve"> The data meet the criteria </w:t>
      </w:r>
      <w:r w:rsidR="00725DEE">
        <w:rPr>
          <w:rFonts w:cstheme="minorHAnsi"/>
        </w:rPr>
        <w:t>of the p-value being less than 0.05. The correlation coefficient of 0.63 indicates about 2/3 of the variability in the data is explained by the model. The slope of 1.24 and the negative intercept indicate the device is over-performing compared to model predictions. This may be due to the use of ½ the reporting limit for most of the DP data and/or to the device removing DP.</w:t>
      </w:r>
    </w:p>
    <w:tbl>
      <w:tblPr>
        <w:tblW w:w="6480" w:type="dxa"/>
        <w:tblLook w:val="04A0" w:firstRow="1" w:lastRow="0" w:firstColumn="1" w:lastColumn="0" w:noHBand="0" w:noVBand="1"/>
      </w:tblPr>
      <w:tblGrid>
        <w:gridCol w:w="1620"/>
        <w:gridCol w:w="1620"/>
        <w:gridCol w:w="1620"/>
        <w:gridCol w:w="1620"/>
      </w:tblGrid>
      <w:tr w:rsidR="00873865" w:rsidRPr="00873865" w14:paraId="0FE3674E" w14:textId="77777777" w:rsidTr="00873865">
        <w:trPr>
          <w:trHeight w:val="58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B0EB3"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TP removal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FDFC1E4"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TSS removal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61E3200"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PP:TP ratio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F711299"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Predicted TP removal (%)</w:t>
            </w:r>
          </w:p>
        </w:tc>
      </w:tr>
      <w:tr w:rsidR="00873865" w:rsidRPr="00873865" w14:paraId="5AA5F6AB"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1FEC825"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29</w:t>
            </w:r>
          </w:p>
        </w:tc>
        <w:tc>
          <w:tcPr>
            <w:tcW w:w="1620" w:type="dxa"/>
            <w:tcBorders>
              <w:top w:val="nil"/>
              <w:left w:val="nil"/>
              <w:bottom w:val="single" w:sz="4" w:space="0" w:color="auto"/>
              <w:right w:val="single" w:sz="4" w:space="0" w:color="auto"/>
            </w:tcBorders>
            <w:shd w:val="clear" w:color="auto" w:fill="auto"/>
            <w:vAlign w:val="center"/>
            <w:hideMark/>
          </w:tcPr>
          <w:p w14:paraId="4650FEB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72</w:t>
            </w:r>
          </w:p>
        </w:tc>
        <w:tc>
          <w:tcPr>
            <w:tcW w:w="1620" w:type="dxa"/>
            <w:tcBorders>
              <w:top w:val="nil"/>
              <w:left w:val="nil"/>
              <w:bottom w:val="single" w:sz="4" w:space="0" w:color="auto"/>
              <w:right w:val="single" w:sz="4" w:space="0" w:color="auto"/>
            </w:tcBorders>
            <w:shd w:val="clear" w:color="auto" w:fill="auto"/>
            <w:vAlign w:val="center"/>
            <w:hideMark/>
          </w:tcPr>
          <w:p w14:paraId="2C49ADE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0.67</w:t>
            </w:r>
          </w:p>
        </w:tc>
        <w:tc>
          <w:tcPr>
            <w:tcW w:w="1620" w:type="dxa"/>
            <w:tcBorders>
              <w:top w:val="nil"/>
              <w:left w:val="nil"/>
              <w:bottom w:val="single" w:sz="4" w:space="0" w:color="auto"/>
              <w:right w:val="single" w:sz="4" w:space="0" w:color="auto"/>
            </w:tcBorders>
            <w:shd w:val="clear" w:color="auto" w:fill="auto"/>
            <w:vAlign w:val="center"/>
            <w:hideMark/>
          </w:tcPr>
          <w:p w14:paraId="21A1E39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48</w:t>
            </w:r>
          </w:p>
        </w:tc>
      </w:tr>
      <w:tr w:rsidR="00873865" w:rsidRPr="00873865" w14:paraId="69DD99CC"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BF4E8E5"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28</w:t>
            </w:r>
          </w:p>
        </w:tc>
        <w:tc>
          <w:tcPr>
            <w:tcW w:w="1620" w:type="dxa"/>
            <w:tcBorders>
              <w:top w:val="nil"/>
              <w:left w:val="nil"/>
              <w:bottom w:val="single" w:sz="4" w:space="0" w:color="auto"/>
              <w:right w:val="single" w:sz="4" w:space="0" w:color="auto"/>
            </w:tcBorders>
            <w:shd w:val="clear" w:color="auto" w:fill="auto"/>
            <w:vAlign w:val="center"/>
            <w:hideMark/>
          </w:tcPr>
          <w:p w14:paraId="6D976CC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75</w:t>
            </w:r>
          </w:p>
        </w:tc>
        <w:tc>
          <w:tcPr>
            <w:tcW w:w="1620" w:type="dxa"/>
            <w:tcBorders>
              <w:top w:val="nil"/>
              <w:left w:val="nil"/>
              <w:bottom w:val="single" w:sz="4" w:space="0" w:color="auto"/>
              <w:right w:val="single" w:sz="4" w:space="0" w:color="auto"/>
            </w:tcBorders>
            <w:shd w:val="clear" w:color="auto" w:fill="auto"/>
            <w:vAlign w:val="center"/>
            <w:hideMark/>
          </w:tcPr>
          <w:p w14:paraId="6536364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0.75</w:t>
            </w:r>
          </w:p>
        </w:tc>
        <w:tc>
          <w:tcPr>
            <w:tcW w:w="1620" w:type="dxa"/>
            <w:tcBorders>
              <w:top w:val="nil"/>
              <w:left w:val="nil"/>
              <w:bottom w:val="single" w:sz="4" w:space="0" w:color="auto"/>
              <w:right w:val="single" w:sz="4" w:space="0" w:color="auto"/>
            </w:tcBorders>
            <w:shd w:val="clear" w:color="auto" w:fill="auto"/>
            <w:vAlign w:val="center"/>
            <w:hideMark/>
          </w:tcPr>
          <w:p w14:paraId="6BCE714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56</w:t>
            </w:r>
          </w:p>
        </w:tc>
      </w:tr>
      <w:tr w:rsidR="00873865" w:rsidRPr="00873865" w14:paraId="17E59DEA"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56206A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44</w:t>
            </w:r>
          </w:p>
        </w:tc>
        <w:tc>
          <w:tcPr>
            <w:tcW w:w="1620" w:type="dxa"/>
            <w:tcBorders>
              <w:top w:val="nil"/>
              <w:left w:val="nil"/>
              <w:bottom w:val="single" w:sz="4" w:space="0" w:color="auto"/>
              <w:right w:val="single" w:sz="4" w:space="0" w:color="auto"/>
            </w:tcBorders>
            <w:shd w:val="clear" w:color="auto" w:fill="auto"/>
            <w:vAlign w:val="center"/>
            <w:hideMark/>
          </w:tcPr>
          <w:p w14:paraId="4CA5B21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77</w:t>
            </w:r>
          </w:p>
        </w:tc>
        <w:tc>
          <w:tcPr>
            <w:tcW w:w="1620" w:type="dxa"/>
            <w:tcBorders>
              <w:top w:val="nil"/>
              <w:left w:val="nil"/>
              <w:bottom w:val="single" w:sz="4" w:space="0" w:color="auto"/>
              <w:right w:val="single" w:sz="4" w:space="0" w:color="auto"/>
            </w:tcBorders>
            <w:shd w:val="clear" w:color="auto" w:fill="auto"/>
            <w:vAlign w:val="center"/>
            <w:hideMark/>
          </w:tcPr>
          <w:p w14:paraId="0BAF228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0.75</w:t>
            </w:r>
          </w:p>
        </w:tc>
        <w:tc>
          <w:tcPr>
            <w:tcW w:w="1620" w:type="dxa"/>
            <w:tcBorders>
              <w:top w:val="nil"/>
              <w:left w:val="nil"/>
              <w:bottom w:val="single" w:sz="4" w:space="0" w:color="auto"/>
              <w:right w:val="single" w:sz="4" w:space="0" w:color="auto"/>
            </w:tcBorders>
            <w:shd w:val="clear" w:color="auto" w:fill="auto"/>
            <w:vAlign w:val="center"/>
            <w:hideMark/>
          </w:tcPr>
          <w:p w14:paraId="58CBA77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58</w:t>
            </w:r>
          </w:p>
        </w:tc>
      </w:tr>
      <w:tr w:rsidR="00873865" w:rsidRPr="00873865" w14:paraId="469FE11F"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EE7C74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26</w:t>
            </w:r>
          </w:p>
        </w:tc>
        <w:tc>
          <w:tcPr>
            <w:tcW w:w="1620" w:type="dxa"/>
            <w:tcBorders>
              <w:top w:val="nil"/>
              <w:left w:val="nil"/>
              <w:bottom w:val="single" w:sz="4" w:space="0" w:color="auto"/>
              <w:right w:val="single" w:sz="4" w:space="0" w:color="auto"/>
            </w:tcBorders>
            <w:shd w:val="clear" w:color="auto" w:fill="auto"/>
            <w:vAlign w:val="center"/>
            <w:hideMark/>
          </w:tcPr>
          <w:p w14:paraId="7CD44A7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66</w:t>
            </w:r>
          </w:p>
        </w:tc>
        <w:tc>
          <w:tcPr>
            <w:tcW w:w="1620" w:type="dxa"/>
            <w:tcBorders>
              <w:top w:val="nil"/>
              <w:left w:val="nil"/>
              <w:bottom w:val="single" w:sz="4" w:space="0" w:color="auto"/>
              <w:right w:val="single" w:sz="4" w:space="0" w:color="auto"/>
            </w:tcBorders>
            <w:shd w:val="clear" w:color="auto" w:fill="auto"/>
            <w:vAlign w:val="center"/>
            <w:hideMark/>
          </w:tcPr>
          <w:p w14:paraId="77391A4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0.80</w:t>
            </w:r>
          </w:p>
        </w:tc>
        <w:tc>
          <w:tcPr>
            <w:tcW w:w="1620" w:type="dxa"/>
            <w:tcBorders>
              <w:top w:val="nil"/>
              <w:left w:val="nil"/>
              <w:bottom w:val="single" w:sz="4" w:space="0" w:color="auto"/>
              <w:right w:val="single" w:sz="4" w:space="0" w:color="auto"/>
            </w:tcBorders>
            <w:shd w:val="clear" w:color="auto" w:fill="auto"/>
            <w:vAlign w:val="center"/>
            <w:hideMark/>
          </w:tcPr>
          <w:p w14:paraId="64B31E57"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53</w:t>
            </w:r>
          </w:p>
        </w:tc>
      </w:tr>
      <w:tr w:rsidR="00873865" w:rsidRPr="00873865" w14:paraId="41362BDF"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E8C4337"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59</w:t>
            </w:r>
          </w:p>
        </w:tc>
        <w:tc>
          <w:tcPr>
            <w:tcW w:w="1620" w:type="dxa"/>
            <w:tcBorders>
              <w:top w:val="nil"/>
              <w:left w:val="nil"/>
              <w:bottom w:val="single" w:sz="4" w:space="0" w:color="auto"/>
              <w:right w:val="single" w:sz="4" w:space="0" w:color="auto"/>
            </w:tcBorders>
            <w:shd w:val="clear" w:color="auto" w:fill="auto"/>
            <w:vAlign w:val="center"/>
            <w:hideMark/>
          </w:tcPr>
          <w:p w14:paraId="65FB96D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7FD63AF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0.83</w:t>
            </w:r>
          </w:p>
        </w:tc>
        <w:tc>
          <w:tcPr>
            <w:tcW w:w="1620" w:type="dxa"/>
            <w:tcBorders>
              <w:top w:val="nil"/>
              <w:left w:val="nil"/>
              <w:bottom w:val="single" w:sz="4" w:space="0" w:color="auto"/>
              <w:right w:val="single" w:sz="4" w:space="0" w:color="auto"/>
            </w:tcBorders>
            <w:shd w:val="clear" w:color="auto" w:fill="auto"/>
            <w:vAlign w:val="center"/>
            <w:hideMark/>
          </w:tcPr>
          <w:p w14:paraId="58A15B3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78</w:t>
            </w:r>
          </w:p>
        </w:tc>
      </w:tr>
      <w:tr w:rsidR="00873865" w:rsidRPr="00873865" w14:paraId="4885AB75"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63DD56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23</w:t>
            </w:r>
          </w:p>
        </w:tc>
        <w:tc>
          <w:tcPr>
            <w:tcW w:w="1620" w:type="dxa"/>
            <w:tcBorders>
              <w:top w:val="nil"/>
              <w:left w:val="nil"/>
              <w:bottom w:val="single" w:sz="4" w:space="0" w:color="auto"/>
              <w:right w:val="single" w:sz="4" w:space="0" w:color="auto"/>
            </w:tcBorders>
            <w:shd w:val="clear" w:color="auto" w:fill="auto"/>
            <w:vAlign w:val="center"/>
            <w:hideMark/>
          </w:tcPr>
          <w:p w14:paraId="1D302CD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88</w:t>
            </w:r>
          </w:p>
        </w:tc>
        <w:tc>
          <w:tcPr>
            <w:tcW w:w="1620" w:type="dxa"/>
            <w:tcBorders>
              <w:top w:val="nil"/>
              <w:left w:val="nil"/>
              <w:bottom w:val="single" w:sz="4" w:space="0" w:color="auto"/>
              <w:right w:val="single" w:sz="4" w:space="0" w:color="auto"/>
            </w:tcBorders>
            <w:shd w:val="clear" w:color="auto" w:fill="auto"/>
            <w:vAlign w:val="center"/>
            <w:hideMark/>
          </w:tcPr>
          <w:p w14:paraId="5C34902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0.67</w:t>
            </w:r>
          </w:p>
        </w:tc>
        <w:tc>
          <w:tcPr>
            <w:tcW w:w="1620" w:type="dxa"/>
            <w:tcBorders>
              <w:top w:val="nil"/>
              <w:left w:val="nil"/>
              <w:bottom w:val="single" w:sz="4" w:space="0" w:color="auto"/>
              <w:right w:val="single" w:sz="4" w:space="0" w:color="auto"/>
            </w:tcBorders>
            <w:shd w:val="clear" w:color="auto" w:fill="auto"/>
            <w:vAlign w:val="center"/>
            <w:hideMark/>
          </w:tcPr>
          <w:p w14:paraId="678A87B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59</w:t>
            </w:r>
          </w:p>
        </w:tc>
      </w:tr>
      <w:tr w:rsidR="00873865" w:rsidRPr="00873865" w14:paraId="38C8DE5E"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B0F8CE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54</w:t>
            </w:r>
          </w:p>
        </w:tc>
        <w:tc>
          <w:tcPr>
            <w:tcW w:w="1620" w:type="dxa"/>
            <w:tcBorders>
              <w:top w:val="nil"/>
              <w:left w:val="nil"/>
              <w:bottom w:val="single" w:sz="4" w:space="0" w:color="auto"/>
              <w:right w:val="single" w:sz="4" w:space="0" w:color="auto"/>
            </w:tcBorders>
            <w:shd w:val="clear" w:color="auto" w:fill="auto"/>
            <w:vAlign w:val="center"/>
            <w:hideMark/>
          </w:tcPr>
          <w:p w14:paraId="2E9C8ABA"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c>
          <w:tcPr>
            <w:tcW w:w="1620" w:type="dxa"/>
            <w:tcBorders>
              <w:top w:val="nil"/>
              <w:left w:val="nil"/>
              <w:bottom w:val="single" w:sz="4" w:space="0" w:color="auto"/>
              <w:right w:val="single" w:sz="4" w:space="0" w:color="auto"/>
            </w:tcBorders>
            <w:shd w:val="clear" w:color="auto" w:fill="auto"/>
            <w:vAlign w:val="center"/>
            <w:hideMark/>
          </w:tcPr>
          <w:p w14:paraId="4682C62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0.86</w:t>
            </w:r>
          </w:p>
        </w:tc>
        <w:tc>
          <w:tcPr>
            <w:tcW w:w="1620" w:type="dxa"/>
            <w:tcBorders>
              <w:top w:val="nil"/>
              <w:left w:val="nil"/>
              <w:bottom w:val="single" w:sz="4" w:space="0" w:color="auto"/>
              <w:right w:val="single" w:sz="4" w:space="0" w:color="auto"/>
            </w:tcBorders>
            <w:shd w:val="clear" w:color="auto" w:fill="auto"/>
            <w:vAlign w:val="center"/>
            <w:hideMark/>
          </w:tcPr>
          <w:p w14:paraId="21F7C18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70</w:t>
            </w:r>
          </w:p>
        </w:tc>
      </w:tr>
      <w:tr w:rsidR="00873865" w:rsidRPr="00873865" w14:paraId="44837D99"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D07931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60</w:t>
            </w:r>
          </w:p>
        </w:tc>
        <w:tc>
          <w:tcPr>
            <w:tcW w:w="1620" w:type="dxa"/>
            <w:tcBorders>
              <w:top w:val="nil"/>
              <w:left w:val="nil"/>
              <w:bottom w:val="single" w:sz="4" w:space="0" w:color="auto"/>
              <w:right w:val="single" w:sz="4" w:space="0" w:color="auto"/>
            </w:tcBorders>
            <w:shd w:val="clear" w:color="auto" w:fill="auto"/>
            <w:vAlign w:val="center"/>
            <w:hideMark/>
          </w:tcPr>
          <w:p w14:paraId="76A1C19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77</w:t>
            </w:r>
          </w:p>
        </w:tc>
        <w:tc>
          <w:tcPr>
            <w:tcW w:w="1620" w:type="dxa"/>
            <w:tcBorders>
              <w:top w:val="nil"/>
              <w:left w:val="nil"/>
              <w:bottom w:val="single" w:sz="4" w:space="0" w:color="auto"/>
              <w:right w:val="single" w:sz="4" w:space="0" w:color="auto"/>
            </w:tcBorders>
            <w:shd w:val="clear" w:color="auto" w:fill="auto"/>
            <w:vAlign w:val="center"/>
            <w:hideMark/>
          </w:tcPr>
          <w:p w14:paraId="368DF7C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0.75</w:t>
            </w:r>
          </w:p>
        </w:tc>
        <w:tc>
          <w:tcPr>
            <w:tcW w:w="1620" w:type="dxa"/>
            <w:tcBorders>
              <w:top w:val="nil"/>
              <w:left w:val="nil"/>
              <w:bottom w:val="single" w:sz="4" w:space="0" w:color="auto"/>
              <w:right w:val="single" w:sz="4" w:space="0" w:color="auto"/>
            </w:tcBorders>
            <w:shd w:val="clear" w:color="auto" w:fill="auto"/>
            <w:vAlign w:val="center"/>
            <w:hideMark/>
          </w:tcPr>
          <w:p w14:paraId="7F6799C8"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58</w:t>
            </w:r>
          </w:p>
        </w:tc>
      </w:tr>
      <w:tr w:rsidR="00873865" w:rsidRPr="00873865" w14:paraId="5D6ED1B7"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3763ED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33</w:t>
            </w:r>
          </w:p>
        </w:tc>
        <w:tc>
          <w:tcPr>
            <w:tcW w:w="1620" w:type="dxa"/>
            <w:tcBorders>
              <w:top w:val="nil"/>
              <w:left w:val="nil"/>
              <w:bottom w:val="single" w:sz="4" w:space="0" w:color="auto"/>
              <w:right w:val="single" w:sz="4" w:space="0" w:color="auto"/>
            </w:tcBorders>
            <w:shd w:val="clear" w:color="auto" w:fill="auto"/>
            <w:vAlign w:val="center"/>
            <w:hideMark/>
          </w:tcPr>
          <w:p w14:paraId="6A54581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c>
          <w:tcPr>
            <w:tcW w:w="1620" w:type="dxa"/>
            <w:tcBorders>
              <w:top w:val="nil"/>
              <w:left w:val="nil"/>
              <w:bottom w:val="single" w:sz="4" w:space="0" w:color="auto"/>
              <w:right w:val="single" w:sz="4" w:space="0" w:color="auto"/>
            </w:tcBorders>
            <w:shd w:val="clear" w:color="auto" w:fill="auto"/>
            <w:vAlign w:val="center"/>
            <w:hideMark/>
          </w:tcPr>
          <w:p w14:paraId="40C3B8A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0.88</w:t>
            </w:r>
          </w:p>
        </w:tc>
        <w:tc>
          <w:tcPr>
            <w:tcW w:w="1620" w:type="dxa"/>
            <w:tcBorders>
              <w:top w:val="nil"/>
              <w:left w:val="nil"/>
              <w:bottom w:val="single" w:sz="4" w:space="0" w:color="auto"/>
              <w:right w:val="single" w:sz="4" w:space="0" w:color="auto"/>
            </w:tcBorders>
            <w:shd w:val="clear" w:color="auto" w:fill="auto"/>
            <w:vAlign w:val="center"/>
            <w:hideMark/>
          </w:tcPr>
          <w:p w14:paraId="2F90B4A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80</w:t>
            </w:r>
          </w:p>
        </w:tc>
      </w:tr>
      <w:tr w:rsidR="00873865" w:rsidRPr="00873865" w14:paraId="5057DE94"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F704706"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67</w:t>
            </w:r>
          </w:p>
        </w:tc>
        <w:tc>
          <w:tcPr>
            <w:tcW w:w="1620" w:type="dxa"/>
            <w:tcBorders>
              <w:top w:val="nil"/>
              <w:left w:val="nil"/>
              <w:bottom w:val="single" w:sz="4" w:space="0" w:color="auto"/>
              <w:right w:val="single" w:sz="4" w:space="0" w:color="auto"/>
            </w:tcBorders>
            <w:shd w:val="clear" w:color="auto" w:fill="auto"/>
            <w:vAlign w:val="center"/>
            <w:hideMark/>
          </w:tcPr>
          <w:p w14:paraId="1161A07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95</w:t>
            </w:r>
          </w:p>
        </w:tc>
        <w:tc>
          <w:tcPr>
            <w:tcW w:w="1620" w:type="dxa"/>
            <w:tcBorders>
              <w:top w:val="nil"/>
              <w:left w:val="nil"/>
              <w:bottom w:val="single" w:sz="4" w:space="0" w:color="auto"/>
              <w:right w:val="single" w:sz="4" w:space="0" w:color="auto"/>
            </w:tcBorders>
            <w:shd w:val="clear" w:color="auto" w:fill="auto"/>
            <w:vAlign w:val="center"/>
            <w:hideMark/>
          </w:tcPr>
          <w:p w14:paraId="69552B9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0.89</w:t>
            </w:r>
          </w:p>
        </w:tc>
        <w:tc>
          <w:tcPr>
            <w:tcW w:w="1620" w:type="dxa"/>
            <w:tcBorders>
              <w:top w:val="nil"/>
              <w:left w:val="nil"/>
              <w:bottom w:val="single" w:sz="4" w:space="0" w:color="auto"/>
              <w:right w:val="single" w:sz="4" w:space="0" w:color="auto"/>
            </w:tcBorders>
            <w:shd w:val="clear" w:color="auto" w:fill="auto"/>
            <w:vAlign w:val="center"/>
            <w:hideMark/>
          </w:tcPr>
          <w:p w14:paraId="03759167"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r w:rsidR="00873865" w:rsidRPr="00873865" w14:paraId="1C44D1AC"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602BC8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72</w:t>
            </w:r>
          </w:p>
        </w:tc>
        <w:tc>
          <w:tcPr>
            <w:tcW w:w="1620" w:type="dxa"/>
            <w:tcBorders>
              <w:top w:val="nil"/>
              <w:left w:val="nil"/>
              <w:bottom w:val="single" w:sz="4" w:space="0" w:color="auto"/>
              <w:right w:val="single" w:sz="4" w:space="0" w:color="auto"/>
            </w:tcBorders>
            <w:shd w:val="clear" w:color="auto" w:fill="auto"/>
            <w:vAlign w:val="center"/>
            <w:hideMark/>
          </w:tcPr>
          <w:p w14:paraId="4206EB3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1E7B9AD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0.89</w:t>
            </w:r>
          </w:p>
        </w:tc>
        <w:tc>
          <w:tcPr>
            <w:tcW w:w="1620" w:type="dxa"/>
            <w:tcBorders>
              <w:top w:val="nil"/>
              <w:left w:val="nil"/>
              <w:bottom w:val="single" w:sz="4" w:space="0" w:color="auto"/>
              <w:right w:val="single" w:sz="4" w:space="0" w:color="auto"/>
            </w:tcBorders>
            <w:shd w:val="clear" w:color="auto" w:fill="auto"/>
            <w:vAlign w:val="center"/>
            <w:hideMark/>
          </w:tcPr>
          <w:p w14:paraId="06EF0FF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r w:rsidR="00873865" w:rsidRPr="00873865" w14:paraId="514613F7"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72C83E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46</w:t>
            </w:r>
          </w:p>
        </w:tc>
        <w:tc>
          <w:tcPr>
            <w:tcW w:w="1620" w:type="dxa"/>
            <w:tcBorders>
              <w:top w:val="nil"/>
              <w:left w:val="nil"/>
              <w:bottom w:val="single" w:sz="4" w:space="0" w:color="auto"/>
              <w:right w:val="single" w:sz="4" w:space="0" w:color="auto"/>
            </w:tcBorders>
            <w:shd w:val="clear" w:color="auto" w:fill="auto"/>
            <w:vAlign w:val="center"/>
            <w:hideMark/>
          </w:tcPr>
          <w:p w14:paraId="21CC4B1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90</w:t>
            </w:r>
          </w:p>
        </w:tc>
        <w:tc>
          <w:tcPr>
            <w:tcW w:w="1620" w:type="dxa"/>
            <w:tcBorders>
              <w:top w:val="nil"/>
              <w:left w:val="nil"/>
              <w:bottom w:val="single" w:sz="4" w:space="0" w:color="auto"/>
              <w:right w:val="single" w:sz="4" w:space="0" w:color="auto"/>
            </w:tcBorders>
            <w:shd w:val="clear" w:color="auto" w:fill="auto"/>
            <w:vAlign w:val="center"/>
            <w:hideMark/>
          </w:tcPr>
          <w:p w14:paraId="356AABD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0.91</w:t>
            </w:r>
          </w:p>
        </w:tc>
        <w:tc>
          <w:tcPr>
            <w:tcW w:w="1620" w:type="dxa"/>
            <w:tcBorders>
              <w:top w:val="nil"/>
              <w:left w:val="nil"/>
              <w:bottom w:val="single" w:sz="4" w:space="0" w:color="auto"/>
              <w:right w:val="single" w:sz="4" w:space="0" w:color="auto"/>
            </w:tcBorders>
            <w:shd w:val="clear" w:color="auto" w:fill="auto"/>
            <w:vAlign w:val="center"/>
            <w:hideMark/>
          </w:tcPr>
          <w:p w14:paraId="584E5CA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r>
      <w:tr w:rsidR="00873865" w:rsidRPr="00873865" w14:paraId="586AFA4D"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78D0A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68</w:t>
            </w:r>
          </w:p>
        </w:tc>
        <w:tc>
          <w:tcPr>
            <w:tcW w:w="1620" w:type="dxa"/>
            <w:tcBorders>
              <w:top w:val="nil"/>
              <w:left w:val="nil"/>
              <w:bottom w:val="single" w:sz="4" w:space="0" w:color="auto"/>
              <w:right w:val="single" w:sz="4" w:space="0" w:color="auto"/>
            </w:tcBorders>
            <w:shd w:val="clear" w:color="auto" w:fill="auto"/>
            <w:vAlign w:val="center"/>
            <w:hideMark/>
          </w:tcPr>
          <w:p w14:paraId="1DE8B1E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c>
          <w:tcPr>
            <w:tcW w:w="1620" w:type="dxa"/>
            <w:tcBorders>
              <w:top w:val="nil"/>
              <w:left w:val="nil"/>
              <w:bottom w:val="single" w:sz="4" w:space="0" w:color="auto"/>
              <w:right w:val="single" w:sz="4" w:space="0" w:color="auto"/>
            </w:tcBorders>
            <w:shd w:val="clear" w:color="auto" w:fill="auto"/>
            <w:vAlign w:val="center"/>
            <w:hideMark/>
          </w:tcPr>
          <w:p w14:paraId="02FD45E8"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0.92</w:t>
            </w:r>
          </w:p>
        </w:tc>
        <w:tc>
          <w:tcPr>
            <w:tcW w:w="1620" w:type="dxa"/>
            <w:tcBorders>
              <w:top w:val="nil"/>
              <w:left w:val="nil"/>
              <w:bottom w:val="single" w:sz="4" w:space="0" w:color="auto"/>
              <w:right w:val="single" w:sz="4" w:space="0" w:color="auto"/>
            </w:tcBorders>
            <w:shd w:val="clear" w:color="auto" w:fill="auto"/>
            <w:vAlign w:val="center"/>
            <w:hideMark/>
          </w:tcPr>
          <w:p w14:paraId="496F931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r w:rsidR="00873865" w:rsidRPr="00873865" w14:paraId="67B0F5CA"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B11531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75</w:t>
            </w:r>
          </w:p>
        </w:tc>
        <w:tc>
          <w:tcPr>
            <w:tcW w:w="1620" w:type="dxa"/>
            <w:tcBorders>
              <w:top w:val="nil"/>
              <w:left w:val="nil"/>
              <w:bottom w:val="single" w:sz="4" w:space="0" w:color="auto"/>
              <w:right w:val="single" w:sz="4" w:space="0" w:color="auto"/>
            </w:tcBorders>
            <w:shd w:val="clear" w:color="auto" w:fill="auto"/>
            <w:vAlign w:val="center"/>
            <w:hideMark/>
          </w:tcPr>
          <w:p w14:paraId="02AE2BA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89</w:t>
            </w:r>
          </w:p>
        </w:tc>
        <w:tc>
          <w:tcPr>
            <w:tcW w:w="1620" w:type="dxa"/>
            <w:tcBorders>
              <w:top w:val="nil"/>
              <w:left w:val="nil"/>
              <w:bottom w:val="single" w:sz="4" w:space="0" w:color="auto"/>
              <w:right w:val="single" w:sz="4" w:space="0" w:color="auto"/>
            </w:tcBorders>
            <w:shd w:val="clear" w:color="auto" w:fill="auto"/>
            <w:vAlign w:val="center"/>
            <w:hideMark/>
          </w:tcPr>
          <w:p w14:paraId="6ECE186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0.92</w:t>
            </w:r>
          </w:p>
        </w:tc>
        <w:tc>
          <w:tcPr>
            <w:tcW w:w="1620" w:type="dxa"/>
            <w:tcBorders>
              <w:top w:val="nil"/>
              <w:left w:val="nil"/>
              <w:bottom w:val="single" w:sz="4" w:space="0" w:color="auto"/>
              <w:right w:val="single" w:sz="4" w:space="0" w:color="auto"/>
            </w:tcBorders>
            <w:shd w:val="clear" w:color="auto" w:fill="auto"/>
            <w:vAlign w:val="center"/>
            <w:hideMark/>
          </w:tcPr>
          <w:p w14:paraId="738C47F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r>
      <w:tr w:rsidR="00873865" w:rsidRPr="00873865" w14:paraId="37617CC5"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AD22F5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83</w:t>
            </w:r>
          </w:p>
        </w:tc>
        <w:tc>
          <w:tcPr>
            <w:tcW w:w="1620" w:type="dxa"/>
            <w:tcBorders>
              <w:top w:val="nil"/>
              <w:left w:val="nil"/>
              <w:bottom w:val="single" w:sz="4" w:space="0" w:color="auto"/>
              <w:right w:val="single" w:sz="4" w:space="0" w:color="auto"/>
            </w:tcBorders>
            <w:shd w:val="clear" w:color="auto" w:fill="auto"/>
            <w:vAlign w:val="center"/>
            <w:hideMark/>
          </w:tcPr>
          <w:p w14:paraId="3C6FA24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97</w:t>
            </w:r>
          </w:p>
        </w:tc>
        <w:tc>
          <w:tcPr>
            <w:tcW w:w="1620" w:type="dxa"/>
            <w:tcBorders>
              <w:top w:val="nil"/>
              <w:left w:val="nil"/>
              <w:bottom w:val="single" w:sz="4" w:space="0" w:color="auto"/>
              <w:right w:val="single" w:sz="4" w:space="0" w:color="auto"/>
            </w:tcBorders>
            <w:shd w:val="clear" w:color="auto" w:fill="auto"/>
            <w:vAlign w:val="center"/>
            <w:hideMark/>
          </w:tcPr>
          <w:p w14:paraId="21B07C8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0.93</w:t>
            </w:r>
          </w:p>
        </w:tc>
        <w:tc>
          <w:tcPr>
            <w:tcW w:w="1620" w:type="dxa"/>
            <w:tcBorders>
              <w:top w:val="nil"/>
              <w:left w:val="nil"/>
              <w:bottom w:val="single" w:sz="4" w:space="0" w:color="auto"/>
              <w:right w:val="single" w:sz="4" w:space="0" w:color="auto"/>
            </w:tcBorders>
            <w:shd w:val="clear" w:color="auto" w:fill="auto"/>
            <w:vAlign w:val="center"/>
            <w:hideMark/>
          </w:tcPr>
          <w:p w14:paraId="0AA6ADA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r>
      <w:tr w:rsidR="00873865" w:rsidRPr="00873865" w14:paraId="437C408A"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1FC70E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88</w:t>
            </w:r>
          </w:p>
        </w:tc>
        <w:tc>
          <w:tcPr>
            <w:tcW w:w="1620" w:type="dxa"/>
            <w:tcBorders>
              <w:top w:val="nil"/>
              <w:left w:val="nil"/>
              <w:bottom w:val="single" w:sz="4" w:space="0" w:color="auto"/>
              <w:right w:val="single" w:sz="4" w:space="0" w:color="auto"/>
            </w:tcBorders>
            <w:shd w:val="clear" w:color="auto" w:fill="auto"/>
            <w:vAlign w:val="center"/>
            <w:hideMark/>
          </w:tcPr>
          <w:p w14:paraId="3C831D0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97</w:t>
            </w:r>
          </w:p>
        </w:tc>
        <w:tc>
          <w:tcPr>
            <w:tcW w:w="1620" w:type="dxa"/>
            <w:tcBorders>
              <w:top w:val="nil"/>
              <w:left w:val="nil"/>
              <w:bottom w:val="single" w:sz="4" w:space="0" w:color="auto"/>
              <w:right w:val="single" w:sz="4" w:space="0" w:color="auto"/>
            </w:tcBorders>
            <w:shd w:val="clear" w:color="auto" w:fill="auto"/>
            <w:vAlign w:val="center"/>
            <w:hideMark/>
          </w:tcPr>
          <w:p w14:paraId="0CFCDB8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0.94</w:t>
            </w:r>
          </w:p>
        </w:tc>
        <w:tc>
          <w:tcPr>
            <w:tcW w:w="1620" w:type="dxa"/>
            <w:tcBorders>
              <w:top w:val="nil"/>
              <w:left w:val="nil"/>
              <w:bottom w:val="single" w:sz="4" w:space="0" w:color="auto"/>
              <w:right w:val="single" w:sz="4" w:space="0" w:color="auto"/>
            </w:tcBorders>
            <w:shd w:val="clear" w:color="auto" w:fill="auto"/>
            <w:vAlign w:val="center"/>
            <w:hideMark/>
          </w:tcPr>
          <w:p w14:paraId="5B7F736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r>
      <w:tr w:rsidR="00873865" w:rsidRPr="00873865" w14:paraId="0349D52B"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0C4D876"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71</w:t>
            </w:r>
          </w:p>
        </w:tc>
        <w:tc>
          <w:tcPr>
            <w:tcW w:w="1620" w:type="dxa"/>
            <w:tcBorders>
              <w:top w:val="nil"/>
              <w:left w:val="nil"/>
              <w:bottom w:val="single" w:sz="4" w:space="0" w:color="auto"/>
              <w:right w:val="single" w:sz="4" w:space="0" w:color="auto"/>
            </w:tcBorders>
            <w:shd w:val="clear" w:color="auto" w:fill="auto"/>
            <w:vAlign w:val="center"/>
            <w:hideMark/>
          </w:tcPr>
          <w:p w14:paraId="6AB0D0A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1C42645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0.94</w:t>
            </w:r>
          </w:p>
        </w:tc>
        <w:tc>
          <w:tcPr>
            <w:tcW w:w="1620" w:type="dxa"/>
            <w:tcBorders>
              <w:top w:val="nil"/>
              <w:left w:val="nil"/>
              <w:bottom w:val="single" w:sz="4" w:space="0" w:color="auto"/>
              <w:right w:val="single" w:sz="4" w:space="0" w:color="auto"/>
            </w:tcBorders>
            <w:shd w:val="clear" w:color="auto" w:fill="auto"/>
            <w:vAlign w:val="center"/>
            <w:hideMark/>
          </w:tcPr>
          <w:p w14:paraId="3A0F981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89</w:t>
            </w:r>
          </w:p>
        </w:tc>
      </w:tr>
      <w:tr w:rsidR="00873865" w:rsidRPr="00873865" w14:paraId="47B78648"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28371F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95</w:t>
            </w:r>
          </w:p>
        </w:tc>
        <w:tc>
          <w:tcPr>
            <w:tcW w:w="1620" w:type="dxa"/>
            <w:tcBorders>
              <w:top w:val="nil"/>
              <w:left w:val="nil"/>
              <w:bottom w:val="single" w:sz="4" w:space="0" w:color="auto"/>
              <w:right w:val="single" w:sz="4" w:space="0" w:color="auto"/>
            </w:tcBorders>
            <w:shd w:val="clear" w:color="auto" w:fill="auto"/>
            <w:vAlign w:val="center"/>
            <w:hideMark/>
          </w:tcPr>
          <w:p w14:paraId="47B7018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52C31DE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0.96</w:t>
            </w:r>
          </w:p>
        </w:tc>
        <w:tc>
          <w:tcPr>
            <w:tcW w:w="1620" w:type="dxa"/>
            <w:tcBorders>
              <w:top w:val="nil"/>
              <w:left w:val="nil"/>
              <w:bottom w:val="single" w:sz="4" w:space="0" w:color="auto"/>
              <w:right w:val="single" w:sz="4" w:space="0" w:color="auto"/>
            </w:tcBorders>
            <w:shd w:val="clear" w:color="auto" w:fill="auto"/>
            <w:vAlign w:val="center"/>
            <w:hideMark/>
          </w:tcPr>
          <w:p w14:paraId="225F93D8"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90</w:t>
            </w:r>
          </w:p>
        </w:tc>
      </w:tr>
      <w:tr w:rsidR="00873865" w:rsidRPr="00873865" w14:paraId="7C9F2A63"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6A7569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69</w:t>
            </w:r>
          </w:p>
        </w:tc>
        <w:tc>
          <w:tcPr>
            <w:tcW w:w="1620" w:type="dxa"/>
            <w:tcBorders>
              <w:top w:val="nil"/>
              <w:left w:val="nil"/>
              <w:bottom w:val="single" w:sz="4" w:space="0" w:color="auto"/>
              <w:right w:val="single" w:sz="4" w:space="0" w:color="auto"/>
            </w:tcBorders>
            <w:shd w:val="clear" w:color="auto" w:fill="auto"/>
            <w:vAlign w:val="center"/>
            <w:hideMark/>
          </w:tcPr>
          <w:p w14:paraId="3CB0CD6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66</w:t>
            </w:r>
          </w:p>
        </w:tc>
        <w:tc>
          <w:tcPr>
            <w:tcW w:w="1620" w:type="dxa"/>
            <w:tcBorders>
              <w:top w:val="nil"/>
              <w:left w:val="nil"/>
              <w:bottom w:val="single" w:sz="4" w:space="0" w:color="auto"/>
              <w:right w:val="single" w:sz="4" w:space="0" w:color="auto"/>
            </w:tcBorders>
            <w:shd w:val="clear" w:color="auto" w:fill="auto"/>
            <w:vAlign w:val="center"/>
            <w:hideMark/>
          </w:tcPr>
          <w:p w14:paraId="65C56C6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0.97</w:t>
            </w:r>
          </w:p>
        </w:tc>
        <w:tc>
          <w:tcPr>
            <w:tcW w:w="1620" w:type="dxa"/>
            <w:tcBorders>
              <w:top w:val="nil"/>
              <w:left w:val="nil"/>
              <w:bottom w:val="single" w:sz="4" w:space="0" w:color="auto"/>
              <w:right w:val="single" w:sz="4" w:space="0" w:color="auto"/>
            </w:tcBorders>
            <w:shd w:val="clear" w:color="auto" w:fill="auto"/>
            <w:vAlign w:val="center"/>
            <w:hideMark/>
          </w:tcPr>
          <w:p w14:paraId="61DD29F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64</w:t>
            </w:r>
          </w:p>
        </w:tc>
      </w:tr>
      <w:tr w:rsidR="00873865" w:rsidRPr="00873865" w14:paraId="03199B9C"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12A136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c>
          <w:tcPr>
            <w:tcW w:w="1620" w:type="dxa"/>
            <w:tcBorders>
              <w:top w:val="nil"/>
              <w:left w:val="nil"/>
              <w:bottom w:val="single" w:sz="4" w:space="0" w:color="auto"/>
              <w:right w:val="single" w:sz="4" w:space="0" w:color="auto"/>
            </w:tcBorders>
            <w:shd w:val="clear" w:color="auto" w:fill="auto"/>
            <w:vAlign w:val="center"/>
            <w:hideMark/>
          </w:tcPr>
          <w:p w14:paraId="463603A5"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95</w:t>
            </w:r>
          </w:p>
        </w:tc>
        <w:tc>
          <w:tcPr>
            <w:tcW w:w="1620" w:type="dxa"/>
            <w:tcBorders>
              <w:top w:val="nil"/>
              <w:left w:val="nil"/>
              <w:bottom w:val="single" w:sz="4" w:space="0" w:color="auto"/>
              <w:right w:val="single" w:sz="4" w:space="0" w:color="auto"/>
            </w:tcBorders>
            <w:shd w:val="clear" w:color="auto" w:fill="auto"/>
            <w:vAlign w:val="center"/>
            <w:hideMark/>
          </w:tcPr>
          <w:p w14:paraId="2136AC8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0.97</w:t>
            </w:r>
          </w:p>
        </w:tc>
        <w:tc>
          <w:tcPr>
            <w:tcW w:w="1620" w:type="dxa"/>
            <w:tcBorders>
              <w:top w:val="nil"/>
              <w:left w:val="nil"/>
              <w:bottom w:val="single" w:sz="4" w:space="0" w:color="auto"/>
              <w:right w:val="single" w:sz="4" w:space="0" w:color="auto"/>
            </w:tcBorders>
            <w:shd w:val="clear" w:color="auto" w:fill="auto"/>
            <w:vAlign w:val="center"/>
            <w:hideMark/>
          </w:tcPr>
          <w:p w14:paraId="4984B4D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92</w:t>
            </w:r>
          </w:p>
        </w:tc>
      </w:tr>
      <w:tr w:rsidR="00873865" w:rsidRPr="00873865" w14:paraId="5C9663EB"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734F7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90</w:t>
            </w:r>
          </w:p>
        </w:tc>
        <w:tc>
          <w:tcPr>
            <w:tcW w:w="1620" w:type="dxa"/>
            <w:tcBorders>
              <w:top w:val="nil"/>
              <w:left w:val="nil"/>
              <w:bottom w:val="single" w:sz="4" w:space="0" w:color="auto"/>
              <w:right w:val="single" w:sz="4" w:space="0" w:color="auto"/>
            </w:tcBorders>
            <w:shd w:val="clear" w:color="auto" w:fill="auto"/>
            <w:vAlign w:val="center"/>
            <w:hideMark/>
          </w:tcPr>
          <w:p w14:paraId="4ABB7C7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86</w:t>
            </w:r>
          </w:p>
        </w:tc>
        <w:tc>
          <w:tcPr>
            <w:tcW w:w="1620" w:type="dxa"/>
            <w:tcBorders>
              <w:top w:val="nil"/>
              <w:left w:val="nil"/>
              <w:bottom w:val="single" w:sz="4" w:space="0" w:color="auto"/>
              <w:right w:val="single" w:sz="4" w:space="0" w:color="auto"/>
            </w:tcBorders>
            <w:shd w:val="clear" w:color="auto" w:fill="auto"/>
            <w:vAlign w:val="center"/>
            <w:hideMark/>
          </w:tcPr>
          <w:p w14:paraId="15A3C176"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0.98</w:t>
            </w:r>
          </w:p>
        </w:tc>
        <w:tc>
          <w:tcPr>
            <w:tcW w:w="1620" w:type="dxa"/>
            <w:tcBorders>
              <w:top w:val="nil"/>
              <w:left w:val="nil"/>
              <w:bottom w:val="single" w:sz="4" w:space="0" w:color="auto"/>
              <w:right w:val="single" w:sz="4" w:space="0" w:color="auto"/>
            </w:tcBorders>
            <w:shd w:val="clear" w:color="auto" w:fill="auto"/>
            <w:vAlign w:val="center"/>
            <w:hideMark/>
          </w:tcPr>
          <w:p w14:paraId="4641924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bl>
    <w:p w14:paraId="36FF29AB" w14:textId="11932184" w:rsidR="00873865" w:rsidRDefault="00873865" w:rsidP="00873865">
      <w:pPr>
        <w:shd w:val="clear" w:color="auto" w:fill="FFFFFF"/>
        <w:spacing w:after="225"/>
        <w:ind w:left="720"/>
        <w:rPr>
          <w:rFonts w:cstheme="minorHAnsi"/>
        </w:rPr>
      </w:pPr>
    </w:p>
    <w:p w14:paraId="54798F5B" w14:textId="4F448BE5" w:rsidR="008A7A60" w:rsidRDefault="008A7A60" w:rsidP="00873865">
      <w:pPr>
        <w:shd w:val="clear" w:color="auto" w:fill="FFFFFF"/>
        <w:spacing w:after="225"/>
        <w:ind w:left="720"/>
        <w:rPr>
          <w:rFonts w:cstheme="minorHAnsi"/>
        </w:rPr>
      </w:pPr>
      <w:r>
        <w:rPr>
          <w:noProof/>
        </w:rPr>
        <w:lastRenderedPageBreak/>
        <w:drawing>
          <wp:inline distT="0" distB="0" distL="0" distR="0" wp14:anchorId="13B7AE61" wp14:editId="0E6C7746">
            <wp:extent cx="5943600" cy="2981960"/>
            <wp:effectExtent l="0" t="0" r="0" b="8890"/>
            <wp:docPr id="1" name="Chart 1">
              <a:extLst xmlns:a="http://schemas.openxmlformats.org/drawingml/2006/main">
                <a:ext uri="{FF2B5EF4-FFF2-40B4-BE49-F238E27FC236}">
                  <a16:creationId xmlns:a16="http://schemas.microsoft.com/office/drawing/2014/main" id="{C02DFAC4-D50F-4A27-8C65-A19E10404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CFC24D" w14:textId="77777777" w:rsidR="00873865" w:rsidRPr="00873865" w:rsidRDefault="00873865" w:rsidP="00873865">
      <w:pPr>
        <w:shd w:val="clear" w:color="auto" w:fill="FFFFFF"/>
        <w:spacing w:after="225"/>
        <w:ind w:left="720"/>
        <w:rPr>
          <w:rFonts w:cstheme="minorHAnsi"/>
        </w:rPr>
      </w:pPr>
    </w:p>
    <w:p w14:paraId="4564DF60" w14:textId="63C806FD" w:rsidR="0063086F" w:rsidRDefault="00592254" w:rsidP="00592254">
      <w:pPr>
        <w:shd w:val="clear" w:color="auto" w:fill="FFFFFF"/>
        <w:spacing w:after="225"/>
        <w:rPr>
          <w:rFonts w:cstheme="minorHAnsi"/>
        </w:rPr>
      </w:pPr>
      <w:r>
        <w:rPr>
          <w:rFonts w:cstheme="minorHAnsi"/>
          <w:b/>
          <w:bCs/>
        </w:rPr>
        <w:t>Appendix 2 - Definitions</w:t>
      </w:r>
    </w:p>
    <w:p w14:paraId="61DB9FD3" w14:textId="3F53013D"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Dissolved phosphorus</w:t>
      </w:r>
      <w:r w:rsidR="00534557">
        <w:rPr>
          <w:rFonts w:cstheme="minorHAnsi"/>
        </w:rPr>
        <w:t xml:space="preserve"> (DP)</w:t>
      </w:r>
      <w:r w:rsidR="00F9563B" w:rsidRPr="00F9563B">
        <w:rPr>
          <w:rFonts w:cstheme="minorHAnsi"/>
        </w:rPr>
        <w:t xml:space="preserve"> - phosphorus that remains in water after that water has been filtered to remove particulate matter, </w:t>
      </w:r>
      <w:r w:rsidR="00F9563B" w:rsidRPr="00F9563B">
        <w:rPr>
          <w:rFonts w:cstheme="minorHAnsi"/>
          <w:color w:val="333333"/>
          <w:shd w:val="clear" w:color="auto" w:fill="FFFFFF"/>
        </w:rPr>
        <w:t xml:space="preserve">typically identified as phosphorus passing through a </w:t>
      </w:r>
      <w:r w:rsidR="006F61D9" w:rsidRPr="00F9563B">
        <w:rPr>
          <w:rFonts w:cstheme="minorHAnsi"/>
          <w:color w:val="333333"/>
          <w:shd w:val="clear" w:color="auto" w:fill="FFFFFF"/>
        </w:rPr>
        <w:t>0.45-micron</w:t>
      </w:r>
      <w:r w:rsidR="00F9563B" w:rsidRPr="00F9563B">
        <w:rPr>
          <w:rFonts w:cstheme="minorHAnsi"/>
          <w:color w:val="333333"/>
          <w:shd w:val="clear" w:color="auto" w:fill="FFFFFF"/>
        </w:rPr>
        <w:t xml:space="preserve"> filter</w:t>
      </w:r>
    </w:p>
    <w:p w14:paraId="0A2FA34E" w14:textId="113C91C8" w:rsidR="00142688" w:rsidRPr="00F9563B" w:rsidRDefault="00142688" w:rsidP="00592254">
      <w:pPr>
        <w:pStyle w:val="ListParagraph"/>
        <w:numPr>
          <w:ilvl w:val="0"/>
          <w:numId w:val="3"/>
        </w:numPr>
        <w:shd w:val="clear" w:color="auto" w:fill="FFFFFF"/>
        <w:spacing w:after="225"/>
        <w:rPr>
          <w:rFonts w:cstheme="minorHAnsi"/>
        </w:rPr>
      </w:pPr>
      <w:r w:rsidRPr="00F9563B">
        <w:rPr>
          <w:rFonts w:cstheme="minorHAnsi"/>
        </w:rPr>
        <w:t>Effluent concentration (C</w:t>
      </w:r>
      <w:r w:rsidRPr="00F9563B">
        <w:rPr>
          <w:rFonts w:cstheme="minorHAnsi"/>
          <w:vertAlign w:val="subscript"/>
        </w:rPr>
        <w:t>e</w:t>
      </w:r>
      <w:r w:rsidRPr="00F9563B">
        <w:rPr>
          <w:rFonts w:cstheme="minorHAnsi"/>
        </w:rPr>
        <w:t>) - the concentration of a chemical in stormwater runoff exiting an mtd device following treatment by the device</w:t>
      </w:r>
    </w:p>
    <w:p w14:paraId="6EF05681" w14:textId="42042D4C"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Influent concentration</w:t>
      </w:r>
      <w:r w:rsidR="00142688" w:rsidRPr="00F9563B">
        <w:rPr>
          <w:rFonts w:cstheme="minorHAnsi"/>
        </w:rPr>
        <w:t xml:space="preserve"> (</w:t>
      </w:r>
      <w:bookmarkStart w:id="1" w:name="_Hlk92689533"/>
      <w:r w:rsidR="00142688" w:rsidRPr="00F9563B">
        <w:rPr>
          <w:rFonts w:cstheme="minorHAnsi"/>
        </w:rPr>
        <w:t>C</w:t>
      </w:r>
      <w:r w:rsidR="00142688" w:rsidRPr="00F9563B">
        <w:rPr>
          <w:rFonts w:cstheme="minorHAnsi"/>
          <w:vertAlign w:val="subscript"/>
        </w:rPr>
        <w:t>i</w:t>
      </w:r>
      <w:bookmarkEnd w:id="1"/>
      <w:r w:rsidR="00142688" w:rsidRPr="00F9563B">
        <w:rPr>
          <w:rFonts w:cstheme="minorHAnsi"/>
        </w:rPr>
        <w:t>)</w:t>
      </w:r>
      <w:r w:rsidRPr="00F9563B">
        <w:rPr>
          <w:rFonts w:cstheme="minorHAnsi"/>
        </w:rPr>
        <w:t xml:space="preserve"> – the concentration of a </w:t>
      </w:r>
      <w:r w:rsidR="00142688" w:rsidRPr="00F9563B">
        <w:rPr>
          <w:rFonts w:cstheme="minorHAnsi"/>
        </w:rPr>
        <w:t>chemical in stormwater runoff entering an mtd device prior to treatment by the device</w:t>
      </w:r>
    </w:p>
    <w:p w14:paraId="719889F9" w14:textId="1CC6613B" w:rsidR="00534557" w:rsidRDefault="00534557" w:rsidP="00F9563B">
      <w:pPr>
        <w:pStyle w:val="ListParagraph"/>
        <w:numPr>
          <w:ilvl w:val="0"/>
          <w:numId w:val="3"/>
        </w:numPr>
        <w:shd w:val="clear" w:color="auto" w:fill="FFFFFF"/>
        <w:spacing w:after="225"/>
        <w:rPr>
          <w:rFonts w:cstheme="minorHAnsi"/>
        </w:rPr>
      </w:pPr>
      <w:r>
        <w:rPr>
          <w:rFonts w:cstheme="minorHAnsi"/>
        </w:rPr>
        <w:t>Measured TP removal</w:t>
      </w:r>
      <w:r w:rsidR="003F108D">
        <w:rPr>
          <w:rFonts w:cstheme="minorHAnsi"/>
        </w:rPr>
        <w:t xml:space="preserve"> – the measured amount of TP removed by an mtd device</w:t>
      </w:r>
    </w:p>
    <w:p w14:paraId="1AA7BB3A" w14:textId="720BFEAC" w:rsidR="00F9563B" w:rsidRPr="00F9563B" w:rsidRDefault="00592254" w:rsidP="00F9563B">
      <w:pPr>
        <w:pStyle w:val="ListParagraph"/>
        <w:numPr>
          <w:ilvl w:val="0"/>
          <w:numId w:val="3"/>
        </w:numPr>
        <w:shd w:val="clear" w:color="auto" w:fill="FFFFFF"/>
        <w:spacing w:after="225"/>
        <w:rPr>
          <w:rFonts w:cstheme="minorHAnsi"/>
        </w:rPr>
      </w:pPr>
      <w:r w:rsidRPr="00F9563B">
        <w:rPr>
          <w:rFonts w:cstheme="minorHAnsi"/>
        </w:rPr>
        <w:t>Particulate phosphorus</w:t>
      </w:r>
      <w:r w:rsidR="00534557">
        <w:rPr>
          <w:rFonts w:cstheme="minorHAnsi"/>
        </w:rPr>
        <w:t xml:space="preserve"> (PP)</w:t>
      </w:r>
      <w:r w:rsidR="00F9563B" w:rsidRPr="00F9563B">
        <w:rPr>
          <w:rFonts w:cstheme="minorHAnsi"/>
        </w:rPr>
        <w:t xml:space="preserve"> - phosphorus attached to solids (mineral and organic), </w:t>
      </w:r>
      <w:r w:rsidR="00F9563B" w:rsidRPr="00F9563B">
        <w:rPr>
          <w:rFonts w:cstheme="minorHAnsi"/>
          <w:color w:val="333333"/>
          <w:shd w:val="clear" w:color="auto" w:fill="FFFFFF"/>
        </w:rPr>
        <w:t xml:space="preserve">typically identified as phosphorus retained by a </w:t>
      </w:r>
      <w:r w:rsidR="006F61D9" w:rsidRPr="00F9563B">
        <w:rPr>
          <w:rFonts w:cstheme="minorHAnsi"/>
          <w:color w:val="333333"/>
          <w:shd w:val="clear" w:color="auto" w:fill="FFFFFF"/>
        </w:rPr>
        <w:t>0.45-micron</w:t>
      </w:r>
      <w:r w:rsidR="00F9563B" w:rsidRPr="00F9563B">
        <w:rPr>
          <w:rFonts w:cstheme="minorHAnsi"/>
          <w:color w:val="333333"/>
          <w:shd w:val="clear" w:color="auto" w:fill="FFFFFF"/>
        </w:rPr>
        <w:t xml:space="preserve"> filter</w:t>
      </w:r>
    </w:p>
    <w:p w14:paraId="5FEAEA53" w14:textId="21131360" w:rsidR="00534557" w:rsidRDefault="00534557" w:rsidP="00592254">
      <w:pPr>
        <w:pStyle w:val="ListParagraph"/>
        <w:numPr>
          <w:ilvl w:val="0"/>
          <w:numId w:val="3"/>
        </w:numPr>
        <w:shd w:val="clear" w:color="auto" w:fill="FFFFFF"/>
        <w:spacing w:after="225"/>
        <w:rPr>
          <w:rFonts w:cstheme="minorHAnsi"/>
        </w:rPr>
      </w:pPr>
      <w:r>
        <w:rPr>
          <w:rFonts w:cstheme="minorHAnsi"/>
        </w:rPr>
        <w:t>Predicted TP removal (</w:t>
      </w:r>
      <w:r w:rsidRPr="00707FA7">
        <w:rPr>
          <w:rStyle w:val="mi"/>
          <w:rFonts w:cstheme="minorHAnsi"/>
          <w:color w:val="333333"/>
          <w:bdr w:val="none" w:sz="0" w:space="0" w:color="auto" w:frame="1"/>
        </w:rPr>
        <w:t>TP</w:t>
      </w:r>
      <w:r w:rsidRPr="00707FA7">
        <w:rPr>
          <w:rStyle w:val="mi"/>
          <w:rFonts w:cstheme="minorHAnsi"/>
          <w:color w:val="333333"/>
          <w:bdr w:val="none" w:sz="0" w:space="0" w:color="auto" w:frame="1"/>
          <w:vertAlign w:val="subscript"/>
        </w:rPr>
        <w:t>R</w:t>
      </w:r>
      <w:r>
        <w:rPr>
          <w:rStyle w:val="mo"/>
          <w:rFonts w:cstheme="minorHAnsi"/>
          <w:color w:val="333333"/>
          <w:bdr w:val="none" w:sz="0" w:space="0" w:color="auto" w:frame="1"/>
        </w:rPr>
        <w:t xml:space="preserve">) </w:t>
      </w:r>
      <w:r w:rsidR="003F108D">
        <w:rPr>
          <w:rStyle w:val="mo"/>
          <w:rFonts w:cstheme="minorHAnsi"/>
          <w:color w:val="333333"/>
          <w:bdr w:val="none" w:sz="0" w:space="0" w:color="auto" w:frame="1"/>
        </w:rPr>
        <w:t>– the amount of phosphorus predicted to be retained by a device based on the equation</w:t>
      </w:r>
      <w:r>
        <w:rPr>
          <w:rStyle w:val="mo"/>
          <w:rFonts w:cstheme="minorHAnsi"/>
          <w:color w:val="333333"/>
          <w:bdr w:val="none" w:sz="0" w:space="0" w:color="auto" w:frame="1"/>
        </w:rPr>
        <w:t xml:space="preserve"> </w:t>
      </w:r>
      <w:r w:rsidR="003F108D" w:rsidRPr="00707FA7">
        <w:rPr>
          <w:rStyle w:val="mi"/>
          <w:rFonts w:cstheme="minorHAnsi"/>
          <w:color w:val="333333"/>
          <w:bdr w:val="none" w:sz="0" w:space="0" w:color="auto" w:frame="1"/>
        </w:rPr>
        <w:t>TP</w:t>
      </w:r>
      <w:r w:rsidR="003F108D" w:rsidRPr="00707FA7">
        <w:rPr>
          <w:rStyle w:val="mi"/>
          <w:rFonts w:cstheme="minorHAnsi"/>
          <w:color w:val="333333"/>
          <w:bdr w:val="none" w:sz="0" w:space="0" w:color="auto" w:frame="1"/>
          <w:vertAlign w:val="subscript"/>
        </w:rPr>
        <w:t>R</w:t>
      </w:r>
      <w:r w:rsidR="003F108D" w:rsidRPr="00707FA7">
        <w:rPr>
          <w:rStyle w:val="mo"/>
          <w:rFonts w:cstheme="minorHAnsi"/>
          <w:color w:val="333333"/>
          <w:bdr w:val="none" w:sz="0" w:space="0" w:color="auto" w:frame="1"/>
        </w:rPr>
        <w:t>=</w:t>
      </w:r>
      <w:r w:rsidR="003F108D">
        <w:rPr>
          <w:rStyle w:val="mo"/>
          <w:rFonts w:cstheme="minorHAnsi"/>
          <w:color w:val="333333"/>
          <w:bdr w:val="none" w:sz="0" w:space="0" w:color="auto" w:frame="1"/>
        </w:rPr>
        <w:t>[(</w:t>
      </w:r>
      <w:r w:rsidR="003F108D" w:rsidRPr="00707FA7">
        <w:rPr>
          <w:rStyle w:val="mi"/>
          <w:rFonts w:cstheme="minorHAnsi"/>
          <w:color w:val="333333"/>
          <w:bdr w:val="none" w:sz="0" w:space="0" w:color="auto" w:frame="1"/>
        </w:rPr>
        <w:t>PP</w:t>
      </w:r>
      <w:r w:rsidR="003F108D" w:rsidRPr="00707FA7">
        <w:rPr>
          <w:rStyle w:val="mi"/>
          <w:rFonts w:cstheme="minorHAnsi"/>
          <w:color w:val="333333"/>
          <w:bdr w:val="none" w:sz="0" w:space="0" w:color="auto" w:frame="1"/>
          <w:vertAlign w:val="subscript"/>
        </w:rPr>
        <w:t>F</w:t>
      </w:r>
      <w:r w:rsidR="003F108D" w:rsidRPr="00707FA7">
        <w:rPr>
          <w:rStyle w:val="mo"/>
          <w:rFonts w:ascii="Cambria Math" w:hAnsi="Cambria Math" w:cs="Cambria Math"/>
          <w:color w:val="333333"/>
          <w:bdr w:val="none" w:sz="0" w:space="0" w:color="auto" w:frame="1"/>
        </w:rPr>
        <w:t>∗</w:t>
      </w:r>
      <w:r w:rsidR="003F108D" w:rsidRPr="00707FA7">
        <w:rPr>
          <w:rStyle w:val="mi"/>
          <w:rFonts w:cstheme="minorHAnsi"/>
          <w:color w:val="333333"/>
          <w:bdr w:val="none" w:sz="0" w:space="0" w:color="auto" w:frame="1"/>
        </w:rPr>
        <w:t>TSS</w:t>
      </w:r>
      <w:r w:rsidR="003F108D" w:rsidRPr="00707FA7">
        <w:rPr>
          <w:rStyle w:val="mi"/>
          <w:rFonts w:cstheme="minorHAnsi"/>
          <w:color w:val="333333"/>
          <w:bdr w:val="none" w:sz="0" w:space="0" w:color="auto" w:frame="1"/>
          <w:vertAlign w:val="subscript"/>
        </w:rPr>
        <w:t>R</w:t>
      </w:r>
      <w:r w:rsid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Style w:val="mjxassistivemathml"/>
          <w:rFonts w:cstheme="minorHAnsi"/>
          <w:color w:val="333333"/>
          <w:bdr w:val="none" w:sz="0" w:space="0" w:color="auto" w:frame="1"/>
        </w:rPr>
        <w:t xml:space="preserve">)] </w:t>
      </w:r>
      <w:r w:rsidR="003F108D" w:rsidRPr="00707FA7">
        <w:rPr>
          <w:rFonts w:cstheme="minorHAnsi"/>
          <w:color w:val="333333"/>
        </w:rPr>
        <w:t>where PP</w:t>
      </w:r>
      <w:r w:rsidR="003F108D" w:rsidRPr="00707FA7">
        <w:rPr>
          <w:rFonts w:cstheme="minorHAnsi"/>
          <w:color w:val="333333"/>
          <w:vertAlign w:val="subscript"/>
        </w:rPr>
        <w:t>F</w:t>
      </w:r>
      <w:r w:rsidR="003F108D" w:rsidRPr="00707FA7">
        <w:rPr>
          <w:rFonts w:cstheme="minorHAnsi"/>
          <w:color w:val="333333"/>
        </w:rPr>
        <w:t> is the fraction of TP in particulate form</w:t>
      </w:r>
      <w:r w:rsidR="003F108D">
        <w:rPr>
          <w:rFonts w:cstheme="minorHAnsi"/>
          <w:color w:val="333333"/>
        </w:rPr>
        <w:t xml:space="preserve">, </w:t>
      </w:r>
      <w:r w:rsidR="003F108D" w:rsidRPr="00707FA7">
        <w:rPr>
          <w:rFonts w:cstheme="minorHAnsi"/>
          <w:color w:val="333333"/>
        </w:rPr>
        <w:t>TSS</w:t>
      </w:r>
      <w:r w:rsidR="003F108D" w:rsidRPr="00707FA7">
        <w:rPr>
          <w:rFonts w:cstheme="minorHAnsi"/>
          <w:color w:val="333333"/>
          <w:vertAlign w:val="subscript"/>
        </w:rPr>
        <w:t>R</w:t>
      </w:r>
      <w:r w:rsidR="003F108D" w:rsidRPr="00707FA7">
        <w:rPr>
          <w:rFonts w:cstheme="minorHAnsi"/>
          <w:color w:val="333333"/>
        </w:rPr>
        <w:t> is the removal percent for TSS</w:t>
      </w:r>
      <w:r w:rsidR="003F108D">
        <w:rPr>
          <w:rFonts w:cstheme="minorHAnsi"/>
          <w:color w:val="333333"/>
        </w:rPr>
        <w:t xml:space="preserve">,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Pr>
          <w:rFonts w:cstheme="minorHAnsi"/>
          <w:color w:val="333333"/>
        </w:rPr>
        <w:t xml:space="preserve"> is the fraction of TP in dissolved form, and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is the removal percent for dissolved phosphorus</w:t>
      </w:r>
      <w:r w:rsidR="003F108D" w:rsidRPr="00707FA7">
        <w:rPr>
          <w:rFonts w:cstheme="minorHAnsi"/>
          <w:color w:val="333333"/>
        </w:rPr>
        <w:t>.</w:t>
      </w:r>
      <w:r w:rsidR="003F108D">
        <w:rPr>
          <w:rFonts w:cstheme="minorHAnsi"/>
          <w:color w:val="333333"/>
        </w:rPr>
        <w:t xml:space="preserve"> Unless otherwise specified, is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assumed to be 0.</w:t>
      </w:r>
    </w:p>
    <w:p w14:paraId="5C60FD36" w14:textId="2A4CD097" w:rsidR="00142688" w:rsidRPr="00F9563B" w:rsidRDefault="00142688" w:rsidP="00592254">
      <w:pPr>
        <w:pStyle w:val="ListParagraph"/>
        <w:numPr>
          <w:ilvl w:val="0"/>
          <w:numId w:val="3"/>
        </w:numPr>
        <w:shd w:val="clear" w:color="auto" w:fill="FFFFFF"/>
        <w:spacing w:after="225"/>
        <w:rPr>
          <w:rFonts w:cstheme="minorHAnsi"/>
        </w:rPr>
      </w:pPr>
      <w:r w:rsidRPr="00F9563B">
        <w:rPr>
          <w:rFonts w:cstheme="minorHAnsi"/>
        </w:rPr>
        <w:t>Removal efficiency – the percentage of a chemical retained (removed) by an mtd device, calculated as (C</w:t>
      </w:r>
      <w:r w:rsidRPr="00F9563B">
        <w:rPr>
          <w:rFonts w:cstheme="minorHAnsi"/>
          <w:vertAlign w:val="subscript"/>
        </w:rPr>
        <w:t>i</w:t>
      </w:r>
      <w:r w:rsidRPr="00F9563B">
        <w:rPr>
          <w:rFonts w:cstheme="minorHAnsi"/>
        </w:rPr>
        <w:t xml:space="preserve"> - C</w:t>
      </w:r>
      <w:r w:rsidRPr="00F9563B">
        <w:rPr>
          <w:rFonts w:cstheme="minorHAnsi"/>
          <w:vertAlign w:val="subscript"/>
        </w:rPr>
        <w:t>e</w:t>
      </w:r>
      <w:r w:rsidRPr="00F9563B">
        <w:rPr>
          <w:rFonts w:cstheme="minorHAnsi"/>
        </w:rPr>
        <w:t>)/ C</w:t>
      </w:r>
      <w:r w:rsidRPr="00F9563B">
        <w:rPr>
          <w:rFonts w:cstheme="minorHAnsi"/>
          <w:vertAlign w:val="subscript"/>
        </w:rPr>
        <w:t>i</w:t>
      </w:r>
      <w:r w:rsidRPr="00F9563B">
        <w:rPr>
          <w:rFonts w:cstheme="minorHAnsi"/>
        </w:rPr>
        <w:t>*100</w:t>
      </w:r>
    </w:p>
    <w:p w14:paraId="315CC641" w14:textId="21E670B2"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Total phosphorus</w:t>
      </w:r>
      <w:r w:rsidR="00534557">
        <w:rPr>
          <w:rFonts w:cstheme="minorHAnsi"/>
        </w:rPr>
        <w:t xml:space="preserve"> (TP)</w:t>
      </w:r>
      <w:r w:rsidR="00F9563B">
        <w:rPr>
          <w:rFonts w:cstheme="minorHAnsi"/>
        </w:rPr>
        <w:t xml:space="preserve"> – the sum of particulate and dissolved </w:t>
      </w:r>
      <w:r w:rsidR="009463B1">
        <w:rPr>
          <w:rFonts w:cstheme="minorHAnsi"/>
        </w:rPr>
        <w:t>phosphorus</w:t>
      </w:r>
    </w:p>
    <w:p w14:paraId="2FFC5758" w14:textId="3C08D2A2"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Total suspended solids</w:t>
      </w:r>
      <w:r w:rsidR="009463B1">
        <w:rPr>
          <w:rFonts w:cstheme="minorHAnsi"/>
        </w:rPr>
        <w:t xml:space="preserve"> - s</w:t>
      </w:r>
      <w:r w:rsidR="009463B1" w:rsidRPr="009463B1">
        <w:rPr>
          <w:rFonts w:cstheme="minorHAnsi"/>
        </w:rPr>
        <w:t>mall solid particles which remain in suspension in water as a colloid or due to the motion of the water, suspended solids can be removed by the sedimentation because of their comparatively large size.</w:t>
      </w:r>
    </w:p>
    <w:sectPr w:rsidR="00592254" w:rsidRPr="00F9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981"/>
    <w:multiLevelType w:val="hybridMultilevel"/>
    <w:tmpl w:val="AE8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C0934"/>
    <w:multiLevelType w:val="hybridMultilevel"/>
    <w:tmpl w:val="29F28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20C90"/>
    <w:multiLevelType w:val="hybridMultilevel"/>
    <w:tmpl w:val="FCCA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D32F2"/>
    <w:multiLevelType w:val="hybridMultilevel"/>
    <w:tmpl w:val="C6F8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E5"/>
    <w:rsid w:val="00045931"/>
    <w:rsid w:val="000A3068"/>
    <w:rsid w:val="000B124E"/>
    <w:rsid w:val="000F2E80"/>
    <w:rsid w:val="00115A0D"/>
    <w:rsid w:val="00142688"/>
    <w:rsid w:val="00161A69"/>
    <w:rsid w:val="00167BBD"/>
    <w:rsid w:val="001B3C38"/>
    <w:rsid w:val="001C6D9F"/>
    <w:rsid w:val="0026297A"/>
    <w:rsid w:val="0030691D"/>
    <w:rsid w:val="00390037"/>
    <w:rsid w:val="0039707E"/>
    <w:rsid w:val="003F108D"/>
    <w:rsid w:val="004212FE"/>
    <w:rsid w:val="00480F2E"/>
    <w:rsid w:val="00492BEB"/>
    <w:rsid w:val="00525966"/>
    <w:rsid w:val="0053007E"/>
    <w:rsid w:val="00534557"/>
    <w:rsid w:val="00592254"/>
    <w:rsid w:val="005B61D6"/>
    <w:rsid w:val="005C6C4A"/>
    <w:rsid w:val="006047B0"/>
    <w:rsid w:val="0063086F"/>
    <w:rsid w:val="006540E0"/>
    <w:rsid w:val="006F61D9"/>
    <w:rsid w:val="00700F71"/>
    <w:rsid w:val="00707FA7"/>
    <w:rsid w:val="00725DEE"/>
    <w:rsid w:val="0083535F"/>
    <w:rsid w:val="00873865"/>
    <w:rsid w:val="0088242A"/>
    <w:rsid w:val="008A5E91"/>
    <w:rsid w:val="008A7A60"/>
    <w:rsid w:val="008F5CA8"/>
    <w:rsid w:val="009463B1"/>
    <w:rsid w:val="009A7EE5"/>
    <w:rsid w:val="00A1546E"/>
    <w:rsid w:val="00A938F2"/>
    <w:rsid w:val="00B700A9"/>
    <w:rsid w:val="00B82F58"/>
    <w:rsid w:val="00B86E76"/>
    <w:rsid w:val="00BB2A19"/>
    <w:rsid w:val="00C07B42"/>
    <w:rsid w:val="00CC5898"/>
    <w:rsid w:val="00CD089E"/>
    <w:rsid w:val="00D222B1"/>
    <w:rsid w:val="00D22A01"/>
    <w:rsid w:val="00D51250"/>
    <w:rsid w:val="00DB6155"/>
    <w:rsid w:val="00DD425C"/>
    <w:rsid w:val="00E355E7"/>
    <w:rsid w:val="00E35AF1"/>
    <w:rsid w:val="00E84332"/>
    <w:rsid w:val="00EE7EAF"/>
    <w:rsid w:val="00F067A4"/>
    <w:rsid w:val="00F139C7"/>
    <w:rsid w:val="00F25D0C"/>
    <w:rsid w:val="00F44BC8"/>
    <w:rsid w:val="00F9563B"/>
    <w:rsid w:val="00FA21AD"/>
    <w:rsid w:val="00FA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182B"/>
  <w15:chartTrackingRefBased/>
  <w15:docId w15:val="{6D432BB3-4E21-4926-BC4B-C1A04CC8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C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E5"/>
    <w:pPr>
      <w:ind w:left="720"/>
      <w:contextualSpacing/>
    </w:pPr>
  </w:style>
  <w:style w:type="character" w:styleId="Hyperlink">
    <w:name w:val="Hyperlink"/>
    <w:basedOn w:val="DefaultParagraphFont"/>
    <w:uiPriority w:val="99"/>
    <w:unhideWhenUsed/>
    <w:rsid w:val="00161A69"/>
    <w:rPr>
      <w:color w:val="0563C1" w:themeColor="hyperlink"/>
      <w:u w:val="single"/>
    </w:rPr>
  </w:style>
  <w:style w:type="character" w:styleId="UnresolvedMention">
    <w:name w:val="Unresolved Mention"/>
    <w:basedOn w:val="DefaultParagraphFont"/>
    <w:uiPriority w:val="99"/>
    <w:semiHidden/>
    <w:unhideWhenUsed/>
    <w:rsid w:val="00161A69"/>
    <w:rPr>
      <w:color w:val="605E5C"/>
      <w:shd w:val="clear" w:color="auto" w:fill="E1DFDD"/>
    </w:rPr>
  </w:style>
  <w:style w:type="paragraph" w:styleId="NormalWeb">
    <w:name w:val="Normal (Web)"/>
    <w:basedOn w:val="Normal"/>
    <w:uiPriority w:val="99"/>
    <w:semiHidden/>
    <w:unhideWhenUsed/>
    <w:rsid w:val="0049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492BEB"/>
  </w:style>
  <w:style w:type="character" w:customStyle="1" w:styleId="mo">
    <w:name w:val="mo"/>
    <w:basedOn w:val="DefaultParagraphFont"/>
    <w:rsid w:val="00492BEB"/>
  </w:style>
  <w:style w:type="character" w:customStyle="1" w:styleId="mn">
    <w:name w:val="mn"/>
    <w:basedOn w:val="DefaultParagraphFont"/>
    <w:rsid w:val="00492BEB"/>
  </w:style>
  <w:style w:type="character" w:customStyle="1" w:styleId="mjxassistivemathml">
    <w:name w:val="mjx_assistive_mathml"/>
    <w:basedOn w:val="DefaultParagraphFont"/>
    <w:rsid w:val="00492BEB"/>
  </w:style>
  <w:style w:type="character" w:styleId="CommentReference">
    <w:name w:val="annotation reference"/>
    <w:basedOn w:val="DefaultParagraphFont"/>
    <w:uiPriority w:val="99"/>
    <w:semiHidden/>
    <w:unhideWhenUsed/>
    <w:rsid w:val="0030691D"/>
    <w:rPr>
      <w:sz w:val="16"/>
      <w:szCs w:val="16"/>
    </w:rPr>
  </w:style>
  <w:style w:type="paragraph" w:styleId="CommentText">
    <w:name w:val="annotation text"/>
    <w:basedOn w:val="Normal"/>
    <w:link w:val="CommentTextChar"/>
    <w:uiPriority w:val="99"/>
    <w:semiHidden/>
    <w:unhideWhenUsed/>
    <w:rsid w:val="0030691D"/>
    <w:pPr>
      <w:spacing w:line="240" w:lineRule="auto"/>
    </w:pPr>
    <w:rPr>
      <w:sz w:val="20"/>
      <w:szCs w:val="20"/>
    </w:rPr>
  </w:style>
  <w:style w:type="character" w:customStyle="1" w:styleId="CommentTextChar">
    <w:name w:val="Comment Text Char"/>
    <w:basedOn w:val="DefaultParagraphFont"/>
    <w:link w:val="CommentText"/>
    <w:uiPriority w:val="99"/>
    <w:semiHidden/>
    <w:rsid w:val="0030691D"/>
    <w:rPr>
      <w:sz w:val="20"/>
      <w:szCs w:val="20"/>
    </w:rPr>
  </w:style>
  <w:style w:type="paragraph" w:styleId="CommentSubject">
    <w:name w:val="annotation subject"/>
    <w:basedOn w:val="CommentText"/>
    <w:next w:val="CommentText"/>
    <w:link w:val="CommentSubjectChar"/>
    <w:uiPriority w:val="99"/>
    <w:semiHidden/>
    <w:unhideWhenUsed/>
    <w:rsid w:val="0030691D"/>
    <w:rPr>
      <w:b/>
      <w:bCs/>
    </w:rPr>
  </w:style>
  <w:style w:type="character" w:customStyle="1" w:styleId="CommentSubjectChar">
    <w:name w:val="Comment Subject Char"/>
    <w:basedOn w:val="CommentTextChar"/>
    <w:link w:val="CommentSubject"/>
    <w:uiPriority w:val="99"/>
    <w:semiHidden/>
    <w:rsid w:val="0030691D"/>
    <w:rPr>
      <w:b/>
      <w:bCs/>
      <w:sz w:val="20"/>
      <w:szCs w:val="20"/>
    </w:rPr>
  </w:style>
  <w:style w:type="character" w:customStyle="1" w:styleId="Heading1Char">
    <w:name w:val="Heading 1 Char"/>
    <w:basedOn w:val="DefaultParagraphFont"/>
    <w:link w:val="Heading1"/>
    <w:uiPriority w:val="9"/>
    <w:rsid w:val="001B3C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3065">
      <w:bodyDiv w:val="1"/>
      <w:marLeft w:val="0"/>
      <w:marRight w:val="0"/>
      <w:marTop w:val="0"/>
      <w:marBottom w:val="0"/>
      <w:divBdr>
        <w:top w:val="none" w:sz="0" w:space="0" w:color="auto"/>
        <w:left w:val="none" w:sz="0" w:space="0" w:color="auto"/>
        <w:bottom w:val="none" w:sz="0" w:space="0" w:color="auto"/>
        <w:right w:val="none" w:sz="0" w:space="0" w:color="auto"/>
      </w:divBdr>
    </w:div>
    <w:div w:id="883176501">
      <w:bodyDiv w:val="1"/>
      <w:marLeft w:val="0"/>
      <w:marRight w:val="0"/>
      <w:marTop w:val="0"/>
      <w:marBottom w:val="0"/>
      <w:divBdr>
        <w:top w:val="none" w:sz="0" w:space="0" w:color="auto"/>
        <w:left w:val="none" w:sz="0" w:space="0" w:color="auto"/>
        <w:bottom w:val="none" w:sz="0" w:space="0" w:color="auto"/>
        <w:right w:val="none" w:sz="0" w:space="0" w:color="auto"/>
      </w:divBdr>
    </w:div>
    <w:div w:id="15945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mwater.pca.state.mn.us/index.php?title=TP_and_TSS_credits_and_guidance_for_manufactured_treatment_devices_(mtds)"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ecology.wa.gov/Regulations-Permits/Guidance-technical-assistance/Stormwater-permittee-guidance-resources/Emerging-stormwater-treatment-technologies" TargetMode="External"/><Relationship Id="rId12" Type="http://schemas.openxmlformats.org/officeDocument/2006/relationships/hyperlink" Target="https://stormwater.pca.state.mn.us/index.php?title=TP_and_TSS_credits_and_guidance_for_manufactured_treatment_devices_(mt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mwater.pca.state.mn.us/index.php?title=TP_and_TSS_credits_and_guidance_for_manufactured_treatment_devices_(mtds)" TargetMode="External"/><Relationship Id="rId11" Type="http://schemas.openxmlformats.org/officeDocument/2006/relationships/hyperlink" Target="https://stormwater.pca.state.mn.us/index.php?title=TP_and_TSS_credits_and_guidance_for_manufactured_treatment_devices_(mtds)" TargetMode="External"/><Relationship Id="rId5" Type="http://schemas.openxmlformats.org/officeDocument/2006/relationships/hyperlink" Target="https://stormwater.pca.state.mn.us/index.php?title=TP_and_TSS_credits_and_guidance_for_manufactured_treatment_devices_(mtds)" TargetMode="External"/><Relationship Id="rId15" Type="http://schemas.openxmlformats.org/officeDocument/2006/relationships/theme" Target="theme/theme1.xml"/><Relationship Id="rId10" Type="http://schemas.openxmlformats.org/officeDocument/2006/relationships/hyperlink" Target="https://stormwater.pca.state.mn.us/index.php?title=TP_and_TSS_credits_and_guidance_for_manufactured_treatment_devices_(mtds)" TargetMode="External"/><Relationship Id="rId4" Type="http://schemas.openxmlformats.org/officeDocument/2006/relationships/webSettings" Target="webSettings.xml"/><Relationship Id="rId9" Type="http://schemas.openxmlformats.org/officeDocument/2006/relationships/hyperlink" Target="https://www.wastormwatercenter.org/wp-content/uploads/tape-bootstrap-ci-calculator-2011-08.xl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Sheet1!$H$26</c:f>
              <c:strCache>
                <c:ptCount val="1"/>
                <c:pt idx="0">
                  <c:v>TP removal (%)</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Sheet1!$G$27:$G$47</c:f>
              <c:numCache>
                <c:formatCode>General</c:formatCode>
                <c:ptCount val="21"/>
                <c:pt idx="0">
                  <c:v>58.666666666666664</c:v>
                </c:pt>
                <c:pt idx="1">
                  <c:v>52.800000000000004</c:v>
                </c:pt>
                <c:pt idx="2">
                  <c:v>56.25</c:v>
                </c:pt>
                <c:pt idx="3">
                  <c:v>48</c:v>
                </c:pt>
                <c:pt idx="4">
                  <c:v>79.625</c:v>
                </c:pt>
                <c:pt idx="5">
                  <c:v>57.75</c:v>
                </c:pt>
                <c:pt idx="6">
                  <c:v>81.818181818181813</c:v>
                </c:pt>
                <c:pt idx="7">
                  <c:v>70.285714285714292</c:v>
                </c:pt>
                <c:pt idx="8">
                  <c:v>78.333333333333329</c:v>
                </c:pt>
                <c:pt idx="9">
                  <c:v>57.75</c:v>
                </c:pt>
                <c:pt idx="10">
                  <c:v>84.444444444444443</c:v>
                </c:pt>
                <c:pt idx="11">
                  <c:v>84</c:v>
                </c:pt>
                <c:pt idx="12">
                  <c:v>63.724137931034484</c:v>
                </c:pt>
                <c:pt idx="13">
                  <c:v>88.777777777777771</c:v>
                </c:pt>
                <c:pt idx="14">
                  <c:v>83.555555555555557</c:v>
                </c:pt>
                <c:pt idx="15">
                  <c:v>82.15384615384616</c:v>
                </c:pt>
                <c:pt idx="16">
                  <c:v>92.121212121212125</c:v>
                </c:pt>
                <c:pt idx="17">
                  <c:v>90.533333333333331</c:v>
                </c:pt>
                <c:pt idx="18">
                  <c:v>91.294117647058826</c:v>
                </c:pt>
                <c:pt idx="19">
                  <c:v>84.34615384615384</c:v>
                </c:pt>
                <c:pt idx="20">
                  <c:v>90.083333333333343</c:v>
                </c:pt>
              </c:numCache>
            </c:numRef>
          </c:xVal>
          <c:yVal>
            <c:numRef>
              <c:f>Sheet1!$H$27:$H$47</c:f>
              <c:numCache>
                <c:formatCode>General</c:formatCode>
                <c:ptCount val="21"/>
                <c:pt idx="0">
                  <c:v>23</c:v>
                </c:pt>
                <c:pt idx="1">
                  <c:v>26</c:v>
                </c:pt>
                <c:pt idx="2">
                  <c:v>28</c:v>
                </c:pt>
                <c:pt idx="3">
                  <c:v>29</c:v>
                </c:pt>
                <c:pt idx="4">
                  <c:v>33</c:v>
                </c:pt>
                <c:pt idx="5">
                  <c:v>44</c:v>
                </c:pt>
                <c:pt idx="6">
                  <c:v>46</c:v>
                </c:pt>
                <c:pt idx="7">
                  <c:v>54</c:v>
                </c:pt>
                <c:pt idx="8">
                  <c:v>59</c:v>
                </c:pt>
                <c:pt idx="9">
                  <c:v>60</c:v>
                </c:pt>
                <c:pt idx="10">
                  <c:v>67</c:v>
                </c:pt>
                <c:pt idx="11">
                  <c:v>68</c:v>
                </c:pt>
                <c:pt idx="12">
                  <c:v>69</c:v>
                </c:pt>
                <c:pt idx="13">
                  <c:v>71</c:v>
                </c:pt>
                <c:pt idx="14">
                  <c:v>72</c:v>
                </c:pt>
                <c:pt idx="15">
                  <c:v>75</c:v>
                </c:pt>
                <c:pt idx="16">
                  <c:v>82</c:v>
                </c:pt>
                <c:pt idx="17">
                  <c:v>83</c:v>
                </c:pt>
                <c:pt idx="18">
                  <c:v>88</c:v>
                </c:pt>
                <c:pt idx="19">
                  <c:v>90</c:v>
                </c:pt>
                <c:pt idx="20">
                  <c:v>95</c:v>
                </c:pt>
              </c:numCache>
            </c:numRef>
          </c:yVal>
          <c:smooth val="0"/>
          <c:extLst>
            <c:ext xmlns:c16="http://schemas.microsoft.com/office/drawing/2014/chart" uri="{C3380CC4-5D6E-409C-BE32-E72D297353CC}">
              <c16:uniqueId val="{00000000-7A74-4296-82F7-D7FD13780D5F}"/>
            </c:ext>
          </c:extLst>
        </c:ser>
        <c:dLbls>
          <c:showLegendKey val="0"/>
          <c:showVal val="0"/>
          <c:showCatName val="0"/>
          <c:showSerName val="0"/>
          <c:showPercent val="0"/>
          <c:showBubbleSize val="0"/>
        </c:dLbls>
        <c:axId val="797591903"/>
        <c:axId val="310804943"/>
      </c:scatterChart>
      <c:valAx>
        <c:axId val="79759190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Predicted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04943"/>
        <c:crosses val="autoZero"/>
        <c:crossBetween val="midCat"/>
      </c:valAx>
      <c:valAx>
        <c:axId val="310804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59190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2</cp:revision>
  <dcterms:created xsi:type="dcterms:W3CDTF">2022-03-23T18:59:00Z</dcterms:created>
  <dcterms:modified xsi:type="dcterms:W3CDTF">2022-03-23T18:59:00Z</dcterms:modified>
</cp:coreProperties>
</file>