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D67" w:rsidRDefault="00573429" w:rsidP="00F42D67">
      <w:pPr>
        <w:pStyle w:val="Heading2"/>
        <w:rPr>
          <w:rStyle w:val="mw-headline"/>
        </w:rPr>
      </w:pPr>
      <w:r>
        <w:rPr>
          <w:rStyle w:val="mw-headline"/>
        </w:rPr>
        <w:t xml:space="preserve">Constructed </w:t>
      </w:r>
      <w:proofErr w:type="spellStart"/>
      <w:r w:rsidR="00F42D67">
        <w:rPr>
          <w:rStyle w:val="mw-headline"/>
        </w:rPr>
        <w:t>Stormwater</w:t>
      </w:r>
      <w:proofErr w:type="spellEnd"/>
      <w:r w:rsidR="00F42D67">
        <w:rPr>
          <w:rStyle w:val="mw-headline"/>
        </w:rPr>
        <w:t xml:space="preserve"> Pond</w:t>
      </w:r>
    </w:p>
    <w:p w:rsidR="00F42D67" w:rsidRDefault="00F42D67" w:rsidP="00F42D67"/>
    <w:p w:rsidR="00F42D67" w:rsidRDefault="00F42D67" w:rsidP="00F42D67">
      <w:r>
        <w:t xml:space="preserve">A </w:t>
      </w:r>
      <w:r w:rsidR="00573429">
        <w:t xml:space="preserve">constructed </w:t>
      </w:r>
      <w:proofErr w:type="spellStart"/>
      <w:r w:rsidR="005768B6">
        <w:t>s</w:t>
      </w:r>
      <w:r>
        <w:t>tormwater</w:t>
      </w:r>
      <w:proofErr w:type="spellEnd"/>
      <w:r>
        <w:t xml:space="preserve"> </w:t>
      </w:r>
      <w:r w:rsidR="005768B6">
        <w:t>p</w:t>
      </w:r>
      <w:r>
        <w:t>ond is a non-volume reducing BMP.  While this BMP does not provide</w:t>
      </w:r>
      <w:r w:rsidR="005768B6">
        <w:t xml:space="preserve"> stormwater</w:t>
      </w:r>
      <w:r>
        <w:t xml:space="preserve"> volume reduction toward the performance goal or on an annual basis, it does provide annual pollutant load reductions. </w:t>
      </w:r>
      <w:r w:rsidR="00573429">
        <w:t xml:space="preserve"> Annual pollutant reductions are applied in three levels based on pond design.</w:t>
      </w:r>
    </w:p>
    <w:p w:rsidR="00F42D67" w:rsidRDefault="00F42D67" w:rsidP="00F42D67">
      <w:pPr>
        <w:pStyle w:val="Heading3"/>
      </w:pPr>
      <w:r>
        <w:rPr>
          <w:rStyle w:val="mw-headline"/>
        </w:rPr>
        <w:t>MIDS calculator user inputs for</w:t>
      </w:r>
      <w:r w:rsidR="00573429">
        <w:rPr>
          <w:rStyle w:val="mw-headline"/>
        </w:rPr>
        <w:t xml:space="preserve"> constructed</w:t>
      </w:r>
      <w:r>
        <w:rPr>
          <w:rStyle w:val="mw-headline"/>
        </w:rPr>
        <w:t xml:space="preserve"> </w:t>
      </w:r>
      <w:proofErr w:type="spellStart"/>
      <w:r>
        <w:rPr>
          <w:rStyle w:val="mw-headline"/>
        </w:rPr>
        <w:t>stormwater</w:t>
      </w:r>
      <w:proofErr w:type="spellEnd"/>
      <w:r>
        <w:rPr>
          <w:rStyle w:val="mw-headline"/>
        </w:rPr>
        <w:t xml:space="preserve"> pond</w:t>
      </w:r>
    </w:p>
    <w:p w:rsidR="00573429" w:rsidRPr="00573429" w:rsidRDefault="00573429" w:rsidP="00573429">
      <w:pPr>
        <w:spacing w:before="100" w:beforeAutospacing="1" w:after="100" w:afterAutospacing="1"/>
        <w:rPr>
          <w:rFonts w:eastAsia="Times New Roman" w:cs="Times New Roman"/>
        </w:rPr>
      </w:pPr>
      <w:r w:rsidRPr="00573429">
        <w:rPr>
          <w:rFonts w:eastAsia="Times New Roman" w:cs="Times New Roman"/>
        </w:rPr>
        <w:t xml:space="preserve">For </w:t>
      </w:r>
      <w:r>
        <w:rPr>
          <w:rFonts w:eastAsia="Times New Roman" w:cs="Times New Roman"/>
        </w:rPr>
        <w:t xml:space="preserve">constructed </w:t>
      </w:r>
      <w:proofErr w:type="spellStart"/>
      <w:r>
        <w:rPr>
          <w:rFonts w:eastAsia="Times New Roman" w:cs="Times New Roman"/>
        </w:rPr>
        <w:t>stormwater</w:t>
      </w:r>
      <w:proofErr w:type="spellEnd"/>
      <w:r>
        <w:rPr>
          <w:rFonts w:eastAsia="Times New Roman" w:cs="Times New Roman"/>
        </w:rPr>
        <w:t xml:space="preserve"> pond BMP</w:t>
      </w:r>
      <w:r w:rsidRPr="00573429">
        <w:rPr>
          <w:rFonts w:eastAsia="Times New Roman" w:cs="Times New Roman"/>
        </w:rPr>
        <w:t>, the user must input the following parameters to calculate the pollutant load reductions associated with the BMP.</w:t>
      </w:r>
    </w:p>
    <w:p w:rsidR="00573429" w:rsidRDefault="00573429" w:rsidP="00573429">
      <w:pPr>
        <w:numPr>
          <w:ilvl w:val="0"/>
          <w:numId w:val="1"/>
        </w:numPr>
        <w:spacing w:before="200" w:after="100" w:afterAutospacing="1"/>
        <w:rPr>
          <w:rFonts w:eastAsia="Times New Roman" w:cs="Times New Roman"/>
          <w:b/>
        </w:rPr>
      </w:pPr>
      <w:r>
        <w:rPr>
          <w:rFonts w:eastAsia="Times New Roman" w:cs="Times New Roman"/>
          <w:b/>
        </w:rPr>
        <w:t>Watershed tab</w:t>
      </w:r>
    </w:p>
    <w:p w:rsidR="00573429" w:rsidRDefault="00573429" w:rsidP="00573429">
      <w:pPr>
        <w:numPr>
          <w:ilvl w:val="1"/>
          <w:numId w:val="1"/>
        </w:numPr>
        <w:spacing w:before="200" w:after="100" w:afterAutospacing="1"/>
        <w:rPr>
          <w:rFonts w:eastAsia="Times New Roman" w:cs="Times New Roman"/>
          <w:b/>
        </w:rPr>
      </w:pPr>
      <w:r>
        <w:rPr>
          <w:rFonts w:eastAsia="Times New Roman" w:cs="Times New Roman"/>
          <w:b/>
        </w:rPr>
        <w:t xml:space="preserve">BMP Name: </w:t>
      </w:r>
      <w:r>
        <w:rPr>
          <w:rFonts w:eastAsia="Times New Roman" w:cs="Times New Roman"/>
        </w:rPr>
        <w:t>this cell is auto-filled but can be changed by the user.</w:t>
      </w:r>
    </w:p>
    <w:p w:rsidR="00573429" w:rsidRDefault="00573429" w:rsidP="00573429">
      <w:pPr>
        <w:numPr>
          <w:ilvl w:val="1"/>
          <w:numId w:val="1"/>
        </w:numPr>
        <w:spacing w:before="200" w:after="100" w:afterAutospacing="1"/>
        <w:rPr>
          <w:rFonts w:eastAsia="Times New Roman" w:cs="Times New Roman"/>
          <w:b/>
        </w:rPr>
      </w:pPr>
      <w:r>
        <w:rPr>
          <w:rFonts w:eastAsia="Times New Roman" w:cs="Times New Roman"/>
          <w:b/>
        </w:rPr>
        <w:t>Routing/downstream BMP</w:t>
      </w:r>
      <w:r>
        <w:rPr>
          <w:rFonts w:eastAsia="Times New Roman" w:cs="Times New Roman"/>
        </w:rPr>
        <w:t>: if this BMP is part of a treatment train and water is being routed from this BMP to another BMP, the user selects the name of the BMP from the dropdown box to which water is being routed.  All water must be routed to a single downstream BMP. Note that the user must include the BMP receiving the routed water in the Schematic or the BMP will not appear in the dropdown box.</w:t>
      </w:r>
    </w:p>
    <w:p w:rsidR="00573429" w:rsidRPr="00573429" w:rsidRDefault="00573429" w:rsidP="00573429">
      <w:pPr>
        <w:numPr>
          <w:ilvl w:val="1"/>
          <w:numId w:val="1"/>
        </w:numPr>
        <w:spacing w:before="200" w:after="100" w:afterAutospacing="1"/>
        <w:rPr>
          <w:rFonts w:eastAsia="Times New Roman" w:cs="Times New Roman"/>
          <w:b/>
        </w:rPr>
      </w:pPr>
      <w:r>
        <w:rPr>
          <w:rFonts w:eastAsia="Times New Roman" w:cs="Times New Roman"/>
          <w:b/>
        </w:rPr>
        <w:t xml:space="preserve">BMP Watershed Area: </w:t>
      </w:r>
      <w:r>
        <w:rPr>
          <w:rFonts w:eastAsia="Times New Roman" w:cs="Times New Roman"/>
        </w:rPr>
        <w:t xml:space="preserve">BMP watershed areas are the areas draining directly to the BMP. Values can be added for four soil types (Hydrologic Soil Groups (HSG) A, B, C, D) and for three Land Cover types (Forest/Open Space, Managed Turf and impervious).  The surface area of the BMP should NOT be included in the watershed area of the BMP.  It is assumed </w:t>
      </w:r>
      <w:r>
        <w:t xml:space="preserve">that precipitation and evapotranspiration at the surface of these systems are neutralizing and that pollutant load additions from precipitation alone are minimal. </w:t>
      </w:r>
      <w:r>
        <w:rPr>
          <w:rFonts w:eastAsia="Times New Roman" w:cs="Times New Roman"/>
        </w:rPr>
        <w:t>Units are in acres.</w:t>
      </w:r>
    </w:p>
    <w:p w:rsidR="00573429" w:rsidRDefault="00573429" w:rsidP="00573429">
      <w:pPr>
        <w:numPr>
          <w:ilvl w:val="0"/>
          <w:numId w:val="1"/>
        </w:numPr>
        <w:spacing w:before="200" w:after="100" w:afterAutospacing="1"/>
        <w:rPr>
          <w:rFonts w:eastAsia="Times New Roman" w:cs="Times New Roman"/>
          <w:b/>
        </w:rPr>
      </w:pPr>
      <w:r w:rsidRPr="00F402F9">
        <w:rPr>
          <w:rFonts w:eastAsia="Times New Roman" w:cs="Times New Roman"/>
          <w:b/>
        </w:rPr>
        <w:t>BMP Parameters tab</w:t>
      </w:r>
    </w:p>
    <w:p w:rsidR="00573429" w:rsidRPr="00C970B8" w:rsidRDefault="00573429" w:rsidP="00573429">
      <w:pPr>
        <w:numPr>
          <w:ilvl w:val="1"/>
          <w:numId w:val="1"/>
        </w:numPr>
        <w:spacing w:before="200" w:after="100" w:afterAutospacing="1"/>
        <w:rPr>
          <w:rFonts w:eastAsia="Times New Roman" w:cs="Times New Roman"/>
          <w:b/>
        </w:rPr>
      </w:pPr>
      <w:r>
        <w:rPr>
          <w:rFonts w:eastAsia="Times New Roman" w:cs="Times New Roman"/>
          <w:b/>
        </w:rPr>
        <w:t xml:space="preserve">Pond Design Level: </w:t>
      </w:r>
      <w:r>
        <w:rPr>
          <w:rFonts w:eastAsia="Times New Roman" w:cs="Times New Roman"/>
        </w:rPr>
        <w:t>Select Design Level 1, Design Level 2, or Design Level 3 to determine pollutant load reductions for this BMP.  Design level requirements are explained in the pollutant reduction section.</w:t>
      </w:r>
    </w:p>
    <w:p w:rsidR="00573429" w:rsidRPr="00573429" w:rsidRDefault="00573429" w:rsidP="00573429">
      <w:pPr>
        <w:pStyle w:val="ListParagraph"/>
        <w:numPr>
          <w:ilvl w:val="0"/>
          <w:numId w:val="1"/>
        </w:numPr>
        <w:spacing w:before="200" w:after="100" w:afterAutospacing="1"/>
      </w:pPr>
      <w:r w:rsidRPr="001164CD">
        <w:rPr>
          <w:b/>
        </w:rPr>
        <w:t>BMP Summary Tab:</w:t>
      </w:r>
      <w:r>
        <w:t xml:space="preserve"> </w:t>
      </w:r>
      <w:r w:rsidRPr="001164CD">
        <w:rPr>
          <w:i/>
        </w:rPr>
        <w:t>The BMP Summary tab</w:t>
      </w:r>
      <w:r>
        <w:t xml:space="preserve"> summarizes the volume and pollutant reductions provided by the specific BMP. It details the performance goal volume reductions and annual average volume, dissolved P, particulate P, and TSS load reductions. Included in the summary are the total volume and pollutant loads received by the BMP from its direct watershed, from upstream BMPs and a combined value of the two. Also included in the summary, are the volume and pollutant load reductions provided by the BMP, in addition to the volume and pollutant loads that exit the BMP through the outflow. This outflow load and volume is what is routed to </w:t>
      </w:r>
      <w:r>
        <w:lastRenderedPageBreak/>
        <w:t xml:space="preserve">the downstream BMP if one is defined in </w:t>
      </w:r>
      <w:r w:rsidRPr="001164CD">
        <w:rPr>
          <w:i/>
        </w:rPr>
        <w:t>the Watershed tab. Finally</w:t>
      </w:r>
      <w:r>
        <w:t>, percent reductions are provided for the percent of the performance goal achieved, percent annual runoff volume retained, total percent annual particulate phosphorus reduction, total percent annual dissolved phosphorus reduction, total percent annual TP reduction, and total percent annual TSS reduction.</w:t>
      </w:r>
    </w:p>
    <w:p w:rsidR="00F42D67" w:rsidRDefault="00F42D67" w:rsidP="00F42D67">
      <w:pPr>
        <w:pStyle w:val="Heading3"/>
        <w:spacing w:before="100" w:beforeAutospacing="1" w:after="100" w:afterAutospacing="1"/>
        <w:rPr>
          <w:rStyle w:val="mw-headline"/>
        </w:rPr>
      </w:pPr>
      <w:r>
        <w:rPr>
          <w:rStyle w:val="mw-headline"/>
        </w:rPr>
        <w:t>Methodology</w:t>
      </w:r>
    </w:p>
    <w:p w:rsidR="005768B6" w:rsidRDefault="005768B6" w:rsidP="005768B6">
      <w:pPr>
        <w:pStyle w:val="Heading4"/>
        <w:spacing w:before="100" w:beforeAutospacing="1" w:after="100" w:afterAutospacing="1"/>
      </w:pPr>
      <w:r>
        <w:t>Required Treatment Volume</w:t>
      </w:r>
    </w:p>
    <w:p w:rsidR="005768B6" w:rsidRPr="00C47A42" w:rsidRDefault="005768B6" w:rsidP="005768B6">
      <w:r>
        <w:t>“</w:t>
      </w:r>
      <w:r w:rsidRPr="00097077">
        <w:t>Required treatment volume</w:t>
      </w:r>
      <w:r>
        <w:t>,</w:t>
      </w:r>
      <w:r w:rsidRPr="00097077">
        <w:t xml:space="preserve">” or the volume of </w:t>
      </w:r>
      <w:r>
        <w:t xml:space="preserve">stormwater </w:t>
      </w:r>
      <w:r w:rsidRPr="00097077">
        <w:t>runoff delivered to the BMP, equals the performance goal (1.1 inches or user</w:t>
      </w:r>
      <w:r>
        <w:t>-</w:t>
      </w:r>
      <w:r w:rsidRPr="00097077">
        <w:t xml:space="preserve">specified performance goal) times the impervious area draining to the BMP. This </w:t>
      </w:r>
      <w:r>
        <w:t>storm</w:t>
      </w:r>
      <w:r w:rsidRPr="00097077">
        <w:t xml:space="preserve">water is delivered to the BMP instantaneously following the </w:t>
      </w:r>
      <w:hyperlink r:id="rId6" w:history="1">
        <w:proofErr w:type="spellStart"/>
        <w:r>
          <w:rPr>
            <w:rStyle w:val="Hyperlink"/>
            <w:rFonts w:eastAsiaTheme="majorEastAsia"/>
          </w:rPr>
          <w:t>K</w:t>
        </w:r>
        <w:r w:rsidRPr="00097077">
          <w:rPr>
            <w:rStyle w:val="Hyperlink"/>
            <w:rFonts w:eastAsiaTheme="majorEastAsia"/>
          </w:rPr>
          <w:t>erplunk</w:t>
        </w:r>
        <w:proofErr w:type="spellEnd"/>
        <w:r w:rsidRPr="00097077">
          <w:rPr>
            <w:rStyle w:val="Hyperlink"/>
            <w:rFonts w:eastAsiaTheme="majorEastAsia"/>
          </w:rPr>
          <w:t xml:space="preserve"> method</w:t>
        </w:r>
      </w:hyperlink>
      <w:r w:rsidRPr="00097077">
        <w:t xml:space="preserve">.  </w:t>
      </w:r>
    </w:p>
    <w:p w:rsidR="00F42D67" w:rsidRPr="004D411E" w:rsidRDefault="00F42D67" w:rsidP="00F42D67">
      <w:pPr>
        <w:pStyle w:val="Heading4"/>
        <w:spacing w:before="100" w:beforeAutospacing="1" w:after="100" w:afterAutospacing="1"/>
      </w:pPr>
      <w:r>
        <w:t>Volume Reduction</w:t>
      </w:r>
    </w:p>
    <w:p w:rsidR="00F42D67" w:rsidRDefault="00F42D67" w:rsidP="00F42D67">
      <w:r>
        <w:t>This BMP does not provide volume reduction towards the performance goal.</w:t>
      </w:r>
    </w:p>
    <w:p w:rsidR="00F42D67" w:rsidRPr="00097077" w:rsidRDefault="00F42D67" w:rsidP="00F42D67">
      <w:pPr>
        <w:pStyle w:val="Heading4"/>
        <w:spacing w:before="100" w:beforeAutospacing="1" w:after="100" w:afterAutospacing="1"/>
        <w:rPr>
          <w:rFonts w:eastAsia="Times New Roman"/>
        </w:rPr>
      </w:pPr>
      <w:r>
        <w:rPr>
          <w:rFonts w:eastAsia="Times New Roman"/>
        </w:rPr>
        <w:t>Pollutant Reduction</w:t>
      </w:r>
    </w:p>
    <w:p w:rsidR="00312DEC" w:rsidRDefault="00F42D67" w:rsidP="00F42D67">
      <w:pPr>
        <w:spacing w:before="100" w:beforeAutospacing="1" w:after="100" w:afterAutospacing="1"/>
      </w:pPr>
      <w:r>
        <w:t xml:space="preserve">Pollutant load reductions are calculated on an annual basis.  A stormwater pond does not provide annual </w:t>
      </w:r>
      <w:r w:rsidR="005768B6">
        <w:t xml:space="preserve">stormwater </w:t>
      </w:r>
      <w:r>
        <w:t xml:space="preserve">volume reduction.  </w:t>
      </w:r>
      <w:r w:rsidR="00312DEC">
        <w:t xml:space="preserve">Annual pollutant load reductions are applied based on the selected Design Level.  To apply a design level in the calculator the constructed </w:t>
      </w:r>
      <w:proofErr w:type="spellStart"/>
      <w:r w:rsidR="00312DEC">
        <w:t>stormwater</w:t>
      </w:r>
      <w:proofErr w:type="spellEnd"/>
      <w:r w:rsidR="00312DEC">
        <w:t xml:space="preserve"> pond must meet the following design requirements.</w:t>
      </w:r>
    </w:p>
    <w:p w:rsidR="00312DEC" w:rsidRPr="00BA0D5B" w:rsidRDefault="00312DEC" w:rsidP="00312DEC">
      <w:pPr>
        <w:rPr>
          <w:b/>
          <w:u w:val="single"/>
        </w:rPr>
      </w:pPr>
      <w:r w:rsidRPr="00BA0D5B">
        <w:rPr>
          <w:b/>
          <w:u w:val="single"/>
        </w:rPr>
        <w:t>Design Level 1 (TSS</w:t>
      </w:r>
      <w:r>
        <w:rPr>
          <w:b/>
          <w:u w:val="single"/>
        </w:rPr>
        <w:t xml:space="preserve"> = 60%, DP = 0%, PP =62%, TP = 3</w:t>
      </w:r>
      <w:r w:rsidRPr="00BA0D5B">
        <w:rPr>
          <w:b/>
          <w:u w:val="single"/>
        </w:rPr>
        <w:t>4%)</w:t>
      </w:r>
    </w:p>
    <w:p w:rsidR="00312DEC" w:rsidRPr="008A46D1" w:rsidRDefault="00312DEC" w:rsidP="00312DEC">
      <w:pPr>
        <w:rPr>
          <w:u w:val="single"/>
        </w:rPr>
      </w:pPr>
      <w:r>
        <w:t>Must meet all of the design requirements for Design Level 1 and does not meet all design requirements for Design Level 2.</w:t>
      </w:r>
    </w:p>
    <w:p w:rsidR="00312DEC" w:rsidRPr="006C10B0" w:rsidRDefault="00312DEC" w:rsidP="00312DEC">
      <w:pPr>
        <w:pStyle w:val="ListParagraph"/>
        <w:numPr>
          <w:ilvl w:val="0"/>
          <w:numId w:val="3"/>
        </w:numPr>
        <w:rPr>
          <w:u w:val="single"/>
        </w:rPr>
      </w:pPr>
      <w:r>
        <w:t>Dead (or permanent) storage of at least 1800 cubic feet per acre that drains to the pond</w:t>
      </w:r>
    </w:p>
    <w:p w:rsidR="00312DEC" w:rsidRPr="006C10B0" w:rsidRDefault="00312DEC" w:rsidP="00312DEC">
      <w:pPr>
        <w:pStyle w:val="ListParagraph"/>
        <w:numPr>
          <w:ilvl w:val="0"/>
          <w:numId w:val="3"/>
        </w:numPr>
        <w:autoSpaceDE w:val="0"/>
        <w:autoSpaceDN w:val="0"/>
        <w:adjustRightInd w:val="0"/>
        <w:spacing w:after="0" w:line="240" w:lineRule="auto"/>
        <w:rPr>
          <w:u w:val="single"/>
        </w:rPr>
      </w:pPr>
      <w:r w:rsidRPr="006C10B0">
        <w:rPr>
          <w:rFonts w:ascii="Calibri" w:hAnsi="Calibri" w:cs="Calibri"/>
        </w:rPr>
        <w:t xml:space="preserve">The pond’s permanent storage volume must reach a minimum depth of at least 3 feet and must have no depth greater than 10 feet. The basin must be configured such that scour or </w:t>
      </w:r>
      <w:proofErr w:type="spellStart"/>
      <w:r w:rsidRPr="006C10B0">
        <w:rPr>
          <w:rFonts w:ascii="Calibri" w:hAnsi="Calibri" w:cs="Calibri"/>
        </w:rPr>
        <w:t>resuspension</w:t>
      </w:r>
      <w:proofErr w:type="spellEnd"/>
      <w:r w:rsidRPr="006C10B0">
        <w:rPr>
          <w:rFonts w:ascii="Calibri" w:hAnsi="Calibri" w:cs="Calibri"/>
        </w:rPr>
        <w:t xml:space="preserve"> of solids</w:t>
      </w:r>
      <w:r>
        <w:rPr>
          <w:rFonts w:ascii="Calibri" w:hAnsi="Calibri" w:cs="Calibri"/>
        </w:rPr>
        <w:t xml:space="preserve"> </w:t>
      </w:r>
      <w:r w:rsidRPr="006C10B0">
        <w:rPr>
          <w:rFonts w:ascii="Calibri" w:hAnsi="Calibri" w:cs="Calibri"/>
        </w:rPr>
        <w:t>is minimized.</w:t>
      </w:r>
    </w:p>
    <w:p w:rsidR="00312DEC" w:rsidRPr="006C10B0" w:rsidRDefault="00312DEC" w:rsidP="00312DEC">
      <w:pPr>
        <w:pStyle w:val="ListParagraph"/>
        <w:numPr>
          <w:ilvl w:val="0"/>
          <w:numId w:val="3"/>
        </w:numPr>
        <w:autoSpaceDE w:val="0"/>
        <w:autoSpaceDN w:val="0"/>
        <w:adjustRightInd w:val="0"/>
        <w:spacing w:after="0" w:line="240" w:lineRule="auto"/>
        <w:rPr>
          <w:u w:val="single"/>
        </w:rPr>
      </w:pPr>
      <w:r w:rsidRPr="006C10B0">
        <w:t>Discharge rate of water quality volume does not exceed 5.66 cubic feet per second per acre of surface area of the pond.</w:t>
      </w:r>
    </w:p>
    <w:p w:rsidR="00312DEC" w:rsidRPr="006C10B0" w:rsidRDefault="00312DEC" w:rsidP="00312DEC">
      <w:pPr>
        <w:pStyle w:val="ListParagraph"/>
        <w:autoSpaceDE w:val="0"/>
        <w:autoSpaceDN w:val="0"/>
        <w:adjustRightInd w:val="0"/>
        <w:spacing w:after="0" w:line="240" w:lineRule="auto"/>
        <w:rPr>
          <w:u w:val="single"/>
        </w:rPr>
      </w:pPr>
    </w:p>
    <w:p w:rsidR="00312DEC" w:rsidRPr="00BA0D5B" w:rsidRDefault="00312DEC" w:rsidP="00312DEC">
      <w:pPr>
        <w:rPr>
          <w:b/>
          <w:u w:val="single"/>
        </w:rPr>
      </w:pPr>
      <w:r w:rsidRPr="00BA0D5B">
        <w:rPr>
          <w:b/>
          <w:u w:val="single"/>
        </w:rPr>
        <w:t>Design Level 2 (TSS = 84%, DP = 8%, PP = 84%, TP = 50%)</w:t>
      </w:r>
    </w:p>
    <w:p w:rsidR="00312DEC" w:rsidRDefault="00312DEC" w:rsidP="00312DEC">
      <w:r>
        <w:t>Meets all of the requirements for Design Levels 1 and 2 and does not meet all design requirements for Design Level 3</w:t>
      </w:r>
    </w:p>
    <w:p w:rsidR="00312DEC" w:rsidRDefault="00312DEC" w:rsidP="00312DEC">
      <w:pPr>
        <w:pStyle w:val="ListParagraph"/>
        <w:numPr>
          <w:ilvl w:val="0"/>
          <w:numId w:val="4"/>
        </w:numPr>
      </w:pPr>
      <w:r>
        <w:t xml:space="preserve">Sediment </w:t>
      </w:r>
      <w:proofErr w:type="spellStart"/>
      <w:r>
        <w:t>forebay</w:t>
      </w:r>
      <w:proofErr w:type="spellEnd"/>
      <w:r>
        <w:t xml:space="preserve"> at all major inflows</w:t>
      </w:r>
    </w:p>
    <w:p w:rsidR="00312DEC" w:rsidRDefault="00312DEC" w:rsidP="00312DEC">
      <w:pPr>
        <w:pStyle w:val="ListParagraph"/>
        <w:numPr>
          <w:ilvl w:val="0"/>
          <w:numId w:val="4"/>
        </w:numPr>
      </w:pPr>
      <w:r>
        <w:t>Water quality volume (flood pool volume)  &gt;=  1 inch of impervious area</w:t>
      </w:r>
    </w:p>
    <w:p w:rsidR="00312DEC" w:rsidRDefault="00312DEC" w:rsidP="00312DEC">
      <w:pPr>
        <w:pStyle w:val="ListParagraph"/>
        <w:numPr>
          <w:ilvl w:val="0"/>
          <w:numId w:val="4"/>
        </w:numPr>
      </w:pPr>
      <w:r>
        <w:lastRenderedPageBreak/>
        <w:t>Flow path length to pond width ratio &gt;= 1:1</w:t>
      </w:r>
    </w:p>
    <w:p w:rsidR="00312DEC" w:rsidRDefault="00312DEC" w:rsidP="00312DEC">
      <w:pPr>
        <w:pStyle w:val="ListParagraph"/>
        <w:numPr>
          <w:ilvl w:val="0"/>
          <w:numId w:val="4"/>
        </w:numPr>
      </w:pPr>
      <w:r>
        <w:t>Pond does not intersect with the groundwater</w:t>
      </w:r>
    </w:p>
    <w:p w:rsidR="00312DEC" w:rsidRPr="00BA0D5B" w:rsidRDefault="00312DEC" w:rsidP="00312DEC">
      <w:pPr>
        <w:rPr>
          <w:b/>
          <w:u w:val="single"/>
        </w:rPr>
      </w:pPr>
      <w:r w:rsidRPr="00BA0D5B">
        <w:rPr>
          <w:b/>
          <w:u w:val="single"/>
        </w:rPr>
        <w:t xml:space="preserve">Design Level 3 (TSS 90%, DP = </w:t>
      </w:r>
      <w:r>
        <w:rPr>
          <w:b/>
          <w:u w:val="single"/>
        </w:rPr>
        <w:t>23</w:t>
      </w:r>
      <w:r w:rsidRPr="00BA0D5B">
        <w:rPr>
          <w:b/>
          <w:u w:val="single"/>
        </w:rPr>
        <w:t>%, PP = 90%</w:t>
      </w:r>
      <w:r>
        <w:rPr>
          <w:b/>
          <w:u w:val="single"/>
        </w:rPr>
        <w:t>, TP = 60</w:t>
      </w:r>
      <w:r w:rsidRPr="00BA0D5B">
        <w:rPr>
          <w:b/>
          <w:u w:val="single"/>
        </w:rPr>
        <w:t>%)</w:t>
      </w:r>
    </w:p>
    <w:p w:rsidR="00312DEC" w:rsidRDefault="00312DEC" w:rsidP="00312DEC">
      <w:proofErr w:type="gramStart"/>
      <w:r>
        <w:t>Must meet all of the design requirements for Design Levels 1, 2 and 3.</w:t>
      </w:r>
      <w:proofErr w:type="gramEnd"/>
    </w:p>
    <w:p w:rsidR="00312DEC" w:rsidRDefault="00312DEC" w:rsidP="00312DEC">
      <w:pPr>
        <w:pStyle w:val="ListParagraph"/>
        <w:numPr>
          <w:ilvl w:val="0"/>
          <w:numId w:val="5"/>
        </w:numPr>
      </w:pPr>
      <w:r>
        <w:t>Wet extended detention or multi-cell system</w:t>
      </w:r>
    </w:p>
    <w:p w:rsidR="00312DEC" w:rsidRDefault="00312DEC" w:rsidP="00312DEC">
      <w:pPr>
        <w:pStyle w:val="ListParagraph"/>
        <w:numPr>
          <w:ilvl w:val="0"/>
          <w:numId w:val="5"/>
        </w:numPr>
      </w:pPr>
      <w:r>
        <w:t>Flow path length to pond width ratio &gt;= 1.5:1</w:t>
      </w:r>
    </w:p>
    <w:p w:rsidR="00312DEC" w:rsidRDefault="00312DEC" w:rsidP="00312DEC">
      <w:pPr>
        <w:pStyle w:val="ListParagraph"/>
        <w:numPr>
          <w:ilvl w:val="0"/>
          <w:numId w:val="5"/>
        </w:numPr>
      </w:pPr>
      <w:r>
        <w:t xml:space="preserve">Water quality volume (flood pool volume) &gt; 1.5 inch of impervious area </w:t>
      </w:r>
    </w:p>
    <w:p w:rsidR="00312DEC" w:rsidRDefault="00843A82" w:rsidP="00843A82">
      <w:pPr>
        <w:spacing w:before="100" w:beforeAutospacing="1"/>
      </w:pPr>
      <w:bookmarkStart w:id="0" w:name="_GoBack"/>
      <w:bookmarkEnd w:id="0"/>
      <w:r>
        <w:t xml:space="preserve">NOTE: The user can modify event mean concentrations (EMCs) on the </w:t>
      </w:r>
      <w:r w:rsidRPr="00843A82">
        <w:rPr>
          <w:b/>
          <w:i/>
        </w:rPr>
        <w:t>Site Information</w:t>
      </w:r>
      <w:r>
        <w:t xml:space="preserve"> tab in the calculator. Default concentrations are 54.5 milligrams per liter for total suspended solids (TSS) and 0.3 milligrams per liter for total phosphorus (particulate plus dissolved). The calculator will notify the user if the default is changed. Changing the default EMC will result in changes to the total pounds of pollutant reduced.</w:t>
      </w:r>
    </w:p>
    <w:p w:rsidR="00F42D67" w:rsidRDefault="00F42D67" w:rsidP="00F42D67">
      <w:pPr>
        <w:pStyle w:val="Heading3"/>
        <w:spacing w:before="100" w:beforeAutospacing="1" w:after="100" w:afterAutospacing="1"/>
        <w:rPr>
          <w:rStyle w:val="mw-headline"/>
        </w:rPr>
      </w:pPr>
      <w:r>
        <w:rPr>
          <w:rStyle w:val="mw-headline"/>
        </w:rPr>
        <w:t>Routing</w:t>
      </w:r>
    </w:p>
    <w:p w:rsidR="00F42D67" w:rsidRPr="00451737" w:rsidRDefault="00F42D67" w:rsidP="00F42D67">
      <w:pPr>
        <w:spacing w:before="100" w:beforeAutospacing="1" w:after="100" w:afterAutospacing="1"/>
      </w:pPr>
      <w:r>
        <w:t xml:space="preserve">A </w:t>
      </w:r>
      <w:r w:rsidR="00312DEC">
        <w:t xml:space="preserve">constructed </w:t>
      </w:r>
      <w:proofErr w:type="spellStart"/>
      <w:r>
        <w:t>stormwater</w:t>
      </w:r>
      <w:proofErr w:type="spellEnd"/>
      <w:r>
        <w:t xml:space="preserve"> pond can be routed to any other BMP except for a green roof and a swale side slope or any BMP </w:t>
      </w:r>
      <w:r w:rsidR="005768B6">
        <w:t xml:space="preserve">in a treatment sequence </w:t>
      </w:r>
      <w:r>
        <w:t xml:space="preserve">that would cause </w:t>
      </w:r>
      <w:r w:rsidR="005768B6">
        <w:t>storm</w:t>
      </w:r>
      <w:r>
        <w:t>water to be rerouted back to the stormwater pond</w:t>
      </w:r>
      <w:r w:rsidR="005768B6">
        <w:t xml:space="preserve"> already in the sequence</w:t>
      </w:r>
      <w:r>
        <w:t xml:space="preserve">.  All BMPs </w:t>
      </w:r>
      <w:r w:rsidR="00312DEC">
        <w:t xml:space="preserve">except for a swale side slope </w:t>
      </w:r>
      <w:r>
        <w:t xml:space="preserve">can be routed to a </w:t>
      </w:r>
      <w:r w:rsidR="00312DEC">
        <w:t xml:space="preserve">constructed </w:t>
      </w:r>
      <w:proofErr w:type="spellStart"/>
      <w:r>
        <w:t>stormwater</w:t>
      </w:r>
      <w:proofErr w:type="spellEnd"/>
      <w:r>
        <w:t xml:space="preserve"> pond.  </w:t>
      </w:r>
    </w:p>
    <w:p w:rsidR="00F42D67" w:rsidRDefault="00F42D67" w:rsidP="00F42D67">
      <w:pPr>
        <w:pStyle w:val="Heading3"/>
        <w:spacing w:before="100" w:beforeAutospacing="1" w:after="100" w:afterAutospacing="1"/>
        <w:rPr>
          <w:rStyle w:val="mw-headline"/>
        </w:rPr>
      </w:pPr>
      <w:r>
        <w:rPr>
          <w:rStyle w:val="mw-headline"/>
        </w:rPr>
        <w:t xml:space="preserve">Assumptions for </w:t>
      </w:r>
      <w:r w:rsidR="00312DEC">
        <w:rPr>
          <w:rStyle w:val="mw-headline"/>
        </w:rPr>
        <w:t xml:space="preserve">constructed </w:t>
      </w:r>
      <w:proofErr w:type="spellStart"/>
      <w:r w:rsidR="00312DEC">
        <w:rPr>
          <w:rStyle w:val="mw-headline"/>
        </w:rPr>
        <w:t>stormwater</w:t>
      </w:r>
      <w:proofErr w:type="spellEnd"/>
      <w:r w:rsidR="00312DEC">
        <w:rPr>
          <w:rStyle w:val="mw-headline"/>
        </w:rPr>
        <w:t xml:space="preserve"> pond</w:t>
      </w:r>
    </w:p>
    <w:p w:rsidR="00F42D67" w:rsidRPr="00080F68" w:rsidRDefault="00F42D67" w:rsidP="00F42D67">
      <w:r>
        <w:t>The following general assumptions apply in calculating the credit for a stormwater pond.  If these assumptions are not followed</w:t>
      </w:r>
      <w:r w:rsidR="005768B6">
        <w:t>,</w:t>
      </w:r>
      <w:r>
        <w:t xml:space="preserve"> the pollutant reduction credits cannot be applied.</w:t>
      </w:r>
    </w:p>
    <w:p w:rsidR="00312DEC" w:rsidRDefault="00312DEC" w:rsidP="00F42D67">
      <w:pPr>
        <w:numPr>
          <w:ilvl w:val="0"/>
          <w:numId w:val="2"/>
        </w:numPr>
        <w:spacing w:before="100" w:beforeAutospacing="1" w:after="100" w:afterAutospacing="1" w:line="240" w:lineRule="auto"/>
      </w:pPr>
      <w:r>
        <w:t xml:space="preserve">The constructed </w:t>
      </w:r>
      <w:proofErr w:type="spellStart"/>
      <w:r>
        <w:t>stor</w:t>
      </w:r>
      <w:r w:rsidR="00F42D67">
        <w:t>mwater</w:t>
      </w:r>
      <w:proofErr w:type="spellEnd"/>
      <w:r w:rsidR="00F42D67">
        <w:t xml:space="preserve"> pond has been properly </w:t>
      </w:r>
      <w:hyperlink r:id="rId7" w:tooltip="Design criteria for bioretention" w:history="1">
        <w:r w:rsidR="00F42D67">
          <w:rPr>
            <w:rStyle w:val="Hyperlink"/>
          </w:rPr>
          <w:t>designed</w:t>
        </w:r>
      </w:hyperlink>
      <w:r w:rsidR="00F42D67">
        <w:t xml:space="preserve">, </w:t>
      </w:r>
      <w:hyperlink r:id="rId8" w:tooltip="Construction specifications for bioretention" w:history="1">
        <w:r w:rsidR="00F42D67">
          <w:rPr>
            <w:rStyle w:val="Hyperlink"/>
          </w:rPr>
          <w:t>constructed</w:t>
        </w:r>
      </w:hyperlink>
      <w:r w:rsidR="00F42D67">
        <w:t xml:space="preserve"> and will be properly </w:t>
      </w:r>
      <w:hyperlink r:id="rId9" w:tooltip="Operation and maintenance of bioretention" w:history="1">
        <w:r w:rsidR="00F42D67">
          <w:rPr>
            <w:rStyle w:val="Hyperlink"/>
          </w:rPr>
          <w:t>maintained</w:t>
        </w:r>
      </w:hyperlink>
      <w:r w:rsidR="00F42D67">
        <w:t>.</w:t>
      </w:r>
    </w:p>
    <w:p w:rsidR="00312DEC" w:rsidRDefault="00312DEC" w:rsidP="00F42D67">
      <w:pPr>
        <w:numPr>
          <w:ilvl w:val="0"/>
          <w:numId w:val="2"/>
        </w:numPr>
        <w:spacing w:before="100" w:beforeAutospacing="1" w:after="100" w:afterAutospacing="1" w:line="240" w:lineRule="auto"/>
      </w:pPr>
      <w:r>
        <w:t xml:space="preserve">The constructed </w:t>
      </w:r>
      <w:proofErr w:type="spellStart"/>
      <w:r>
        <w:t>stomwater</w:t>
      </w:r>
      <w:proofErr w:type="spellEnd"/>
      <w:r>
        <w:t xml:space="preserve"> pond meets all design requirements for the selected Design Level.</w:t>
      </w:r>
    </w:p>
    <w:p w:rsidR="00F42D67" w:rsidRDefault="00F42D67" w:rsidP="00F42D67">
      <w:pPr>
        <w:numPr>
          <w:ilvl w:val="0"/>
          <w:numId w:val="2"/>
        </w:numPr>
        <w:spacing w:before="100" w:beforeAutospacing="1" w:after="100" w:afterAutospacing="1" w:line="240" w:lineRule="auto"/>
      </w:pPr>
      <w:r>
        <w:br w:type="page"/>
      </w:r>
    </w:p>
    <w:p w:rsidR="00F42D67" w:rsidRDefault="00F42D67" w:rsidP="00F42D67">
      <w:pPr>
        <w:pStyle w:val="Heading3"/>
        <w:spacing w:before="100" w:beforeAutospacing="1" w:after="100" w:afterAutospacing="1"/>
      </w:pPr>
      <w:r>
        <w:rPr>
          <w:rStyle w:val="mw-headline"/>
        </w:rPr>
        <w:lastRenderedPageBreak/>
        <w:t>Images</w:t>
      </w:r>
    </w:p>
    <w:p w:rsidR="002122F2" w:rsidRDefault="00F42D67" w:rsidP="00F42D67">
      <w:pPr>
        <w:jc w:val="center"/>
      </w:pPr>
      <w:r w:rsidRPr="006A2097">
        <w:rPr>
          <w:noProof/>
        </w:rPr>
        <mc:AlternateContent>
          <mc:Choice Requires="wps">
            <w:drawing>
              <wp:anchor distT="0" distB="0" distL="114300" distR="114300" simplePos="0" relativeHeight="251659264" behindDoc="1" locked="0" layoutInCell="1" allowOverlap="1" wp14:anchorId="283EFEAD" wp14:editId="13BCE859">
                <wp:simplePos x="0" y="0"/>
                <wp:positionH relativeFrom="column">
                  <wp:posOffset>2286000</wp:posOffset>
                </wp:positionH>
                <wp:positionV relativeFrom="paragraph">
                  <wp:posOffset>957580</wp:posOffset>
                </wp:positionV>
                <wp:extent cx="1362075" cy="685800"/>
                <wp:effectExtent l="0" t="0" r="28575" b="19050"/>
                <wp:wrapTight wrapText="bothSides">
                  <wp:wrapPolygon edited="0">
                    <wp:start x="0" y="0"/>
                    <wp:lineTo x="0" y="21600"/>
                    <wp:lineTo x="21751" y="21600"/>
                    <wp:lineTo x="21751"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685800"/>
                        </a:xfrm>
                        <a:prstGeom prst="rect">
                          <a:avLst/>
                        </a:prstGeom>
                        <a:solidFill>
                          <a:srgbClr val="FFFFFF"/>
                        </a:solidFill>
                        <a:ln w="9525">
                          <a:solidFill>
                            <a:srgbClr val="000000"/>
                          </a:solidFill>
                          <a:miter lim="800000"/>
                          <a:headEnd/>
                          <a:tailEnd/>
                        </a:ln>
                      </wps:spPr>
                      <wps:txbx>
                        <w:txbxContent>
                          <w:p w:rsidR="00F42D67" w:rsidRDefault="00F42D67" w:rsidP="00F42D67">
                            <w:pPr>
                              <w:spacing w:after="0" w:line="240" w:lineRule="auto"/>
                              <w:jc w:val="center"/>
                            </w:pPr>
                            <w:r>
                              <w:t>Symbol for stormwater pond in MIDS calculator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left:0;text-align:left;margin-left:180pt;margin-top:75.4pt;width:107.25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">
                <v:textbox>
                  <w:txbxContent>
                    <w:p w:rsidR="00F42D67" w:rsidRDefault="00F42D67" w:rsidP="00F42D67">
                      <w:pPr>
                        <w:spacing w:after="0" w:line="240" w:lineRule="auto"/>
                        <w:jc w:val="center"/>
                      </w:pPr>
                      <w:r>
                        <w:t>Symbol for stormwater pond in MIDS calculator</w:t>
                      </w:r>
                    </w:p>
                  </w:txbxContent>
                </v:textbox>
                <w10:wrap type="tight"/>
              </v:shape>
            </w:pict>
          </mc:Fallback>
        </mc:AlternateContent>
      </w:r>
      <w:r>
        <w:rPr>
          <w:noProof/>
        </w:rPr>
        <w:drawing>
          <wp:inline distT="0" distB="0" distL="0" distR="0" wp14:anchorId="1E953252" wp14:editId="5CB83A85">
            <wp:extent cx="1372870"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3449" cy="895728"/>
                    </a:xfrm>
                    <a:prstGeom prst="rect">
                      <a:avLst/>
                    </a:prstGeom>
                    <a:noFill/>
                  </pic:spPr>
                </pic:pic>
              </a:graphicData>
            </a:graphic>
          </wp:inline>
        </w:drawing>
      </w:r>
    </w:p>
    <w:p w:rsidR="00F42D67" w:rsidRDefault="00F42D67" w:rsidP="00F42D67">
      <w:pPr>
        <w:jc w:val="center"/>
      </w:pPr>
    </w:p>
    <w:p w:rsidR="00F42D67" w:rsidRDefault="00F42D67" w:rsidP="00F42D67">
      <w:pPr>
        <w:jc w:val="center"/>
      </w:pPr>
    </w:p>
    <w:p w:rsidR="00F42D67" w:rsidRDefault="00F42D67" w:rsidP="00F42D67">
      <w:pPr>
        <w:jc w:val="center"/>
      </w:pPr>
    </w:p>
    <w:p w:rsidR="00F42D67" w:rsidRDefault="00F42D67" w:rsidP="00F42D67">
      <w:pPr>
        <w:jc w:val="center"/>
      </w:pPr>
      <w:r w:rsidRPr="006A2097">
        <w:rPr>
          <w:noProof/>
        </w:rPr>
        <mc:AlternateContent>
          <mc:Choice Requires="wps">
            <w:drawing>
              <wp:anchor distT="0" distB="0" distL="114300" distR="114300" simplePos="0" relativeHeight="251661312" behindDoc="1" locked="0" layoutInCell="1" allowOverlap="1" wp14:anchorId="5E59C890" wp14:editId="35703805">
                <wp:simplePos x="0" y="0"/>
                <wp:positionH relativeFrom="column">
                  <wp:posOffset>0</wp:posOffset>
                </wp:positionH>
                <wp:positionV relativeFrom="paragraph">
                  <wp:posOffset>4265295</wp:posOffset>
                </wp:positionV>
                <wp:extent cx="5943600" cy="266700"/>
                <wp:effectExtent l="0" t="0" r="19050" b="19050"/>
                <wp:wrapTight wrapText="bothSides">
                  <wp:wrapPolygon edited="0">
                    <wp:start x="0" y="0"/>
                    <wp:lineTo x="0" y="21600"/>
                    <wp:lineTo x="21600" y="21600"/>
                    <wp:lineTo x="21600"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66700"/>
                        </a:xfrm>
                        <a:prstGeom prst="rect">
                          <a:avLst/>
                        </a:prstGeom>
                        <a:solidFill>
                          <a:srgbClr val="FFFFFF"/>
                        </a:solidFill>
                        <a:ln w="9525">
                          <a:solidFill>
                            <a:srgbClr val="000000"/>
                          </a:solidFill>
                          <a:miter lim="800000"/>
                          <a:headEnd/>
                          <a:tailEnd/>
                        </a:ln>
                      </wps:spPr>
                      <wps:txbx>
                        <w:txbxContent>
                          <w:p w:rsidR="00F42D67" w:rsidRDefault="00F42D67" w:rsidP="00F42D67">
                            <w:pPr>
                              <w:spacing w:after="0" w:line="240" w:lineRule="auto"/>
                              <w:jc w:val="center"/>
                            </w:pPr>
                            <w:r>
                              <w:t>BMP watershed area parameters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335.85pt;width:468pt;height:2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">
                <v:textbox>
                  <w:txbxContent>
                    <w:p w:rsidR="00F42D67" w:rsidRDefault="00F42D67" w:rsidP="00F42D67">
                      <w:pPr>
                        <w:spacing w:after="0" w:line="240" w:lineRule="auto"/>
                        <w:jc w:val="center"/>
                      </w:pPr>
                      <w:r>
                        <w:t>BMP watershed area parameters</w:t>
                      </w:r>
                    </w:p>
                  </w:txbxContent>
                </v:textbox>
                <w10:wrap type="tight"/>
              </v:shape>
            </w:pict>
          </mc:Fallback>
        </mc:AlternateContent>
      </w:r>
      <w:r>
        <w:rPr>
          <w:noProof/>
        </w:rPr>
        <w:drawing>
          <wp:inline distT="0" distB="0" distL="0" distR="0" wp14:anchorId="0DEBE18A" wp14:editId="2D3827C0">
            <wp:extent cx="5943600" cy="417703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4177030"/>
                    </a:xfrm>
                    <a:prstGeom prst="rect">
                      <a:avLst/>
                    </a:prstGeom>
                  </pic:spPr>
                </pic:pic>
              </a:graphicData>
            </a:graphic>
          </wp:inline>
        </w:drawing>
      </w:r>
    </w:p>
    <w:p w:rsidR="00312DEC" w:rsidRDefault="00573429" w:rsidP="00F42D67">
      <w:pPr>
        <w:jc w:val="center"/>
      </w:pPr>
      <w:r>
        <w:rPr>
          <w:noProof/>
        </w:rPr>
        <w:lastRenderedPageBreak/>
        <w:drawing>
          <wp:inline distT="0" distB="0" distL="0" distR="0" wp14:anchorId="2F8435BF" wp14:editId="7E0EB7E6">
            <wp:extent cx="5943600" cy="2404745"/>
            <wp:effectExtent l="19050" t="19050" r="19050" b="14605"/>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367" t="12289" r="4127" b="51920"/>
                    <a:stretch/>
                  </pic:blipFill>
                  <pic:spPr bwMode="auto">
                    <a:xfrm>
                      <a:off x="0" y="0"/>
                      <a:ext cx="5943600" cy="2404745"/>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rsidR="00F42D67" w:rsidRPr="00312DEC" w:rsidRDefault="00312DEC" w:rsidP="00312DEC">
      <w:pPr>
        <w:jc w:val="center"/>
      </w:pPr>
      <w:r>
        <w:rPr>
          <w:noProof/>
        </w:rPr>
        <mc:AlternateContent>
          <mc:Choice Requires="wps">
            <w:drawing>
              <wp:inline distT="0" distB="0" distL="0" distR="0" wp14:anchorId="1BE73CBD" wp14:editId="1111E060">
                <wp:extent cx="5819775" cy="333375"/>
                <wp:effectExtent l="0" t="0" r="28575" b="2857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333375"/>
                        </a:xfrm>
                        <a:prstGeom prst="rect">
                          <a:avLst/>
                        </a:prstGeom>
                        <a:solidFill>
                          <a:srgbClr val="FFFFFF"/>
                        </a:solidFill>
                        <a:ln w="9525">
                          <a:solidFill>
                            <a:srgbClr val="000000"/>
                          </a:solidFill>
                          <a:miter lim="800000"/>
                          <a:headEnd/>
                          <a:tailEnd/>
                        </a:ln>
                      </wps:spPr>
                      <wps:txbx>
                        <w:txbxContent>
                          <w:p w:rsidR="00312DEC" w:rsidRDefault="00312DEC" w:rsidP="00312DEC">
                            <w:r>
                              <w:t xml:space="preserve">Screen shot from MIDS calculator showing user inputs needed for constructed </w:t>
                            </w:r>
                            <w:proofErr w:type="spellStart"/>
                            <w:r>
                              <w:t>stormwater</w:t>
                            </w:r>
                            <w:proofErr w:type="spellEnd"/>
                            <w:r>
                              <w:t xml:space="preserve"> pond.</w:t>
                            </w:r>
                          </w:p>
                        </w:txbxContent>
                      </wps:txbx>
                      <wps:bodyPr rot="0" vert="horz" wrap="square" lIns="91440" tIns="45720" rIns="91440" bIns="45720" anchor="t" anchorCtr="0">
                        <a:noAutofit/>
                      </wps:bodyPr>
                    </wps:wsp>
                  </a:graphicData>
                </a:graphic>
              </wp:inline>
            </w:drawing>
          </mc:Choice>
          <mc:Fallback>
            <w:pict>
              <v:shape id="Text Box 2" o:spid="_x0000_s1028" type="#_x0000_t202" style="width:458.25pt;height:2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">
                <v:textbox>
                  <w:txbxContent>
                    <w:p w:rsidR="00312DEC" w:rsidRDefault="00312DEC" w:rsidP="00312DEC">
                      <w:r>
                        <w:t xml:space="preserve">Screen shot from MIDS calculator showing user inputs needed for </w:t>
                      </w:r>
                      <w:r>
                        <w:t xml:space="preserve">constructed </w:t>
                      </w:r>
                      <w:proofErr w:type="spellStart"/>
                      <w:r>
                        <w:t>stormwater</w:t>
                      </w:r>
                      <w:proofErr w:type="spellEnd"/>
                      <w:r>
                        <w:t xml:space="preserve"> pond</w:t>
                      </w:r>
                      <w:r>
                        <w:t>.</w:t>
                      </w:r>
                    </w:p>
                  </w:txbxContent>
                </v:textbox>
                <w10:anchorlock/>
              </v:shape>
            </w:pict>
          </mc:Fallback>
        </mc:AlternateContent>
      </w:r>
    </w:p>
    <w:sectPr w:rsidR="00F42D67" w:rsidRPr="00312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A45995"/>
    <w:multiLevelType w:val="hybridMultilevel"/>
    <w:tmpl w:val="CCF08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7C3657"/>
    <w:multiLevelType w:val="multilevel"/>
    <w:tmpl w:val="BF2EE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DEE1828"/>
    <w:multiLevelType w:val="multilevel"/>
    <w:tmpl w:val="C9346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BA1F4E"/>
    <w:multiLevelType w:val="hybridMultilevel"/>
    <w:tmpl w:val="5C20B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FA81ABF"/>
    <w:multiLevelType w:val="hybridMultilevel"/>
    <w:tmpl w:val="A2EA6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D67"/>
    <w:rsid w:val="002122F2"/>
    <w:rsid w:val="0025208C"/>
    <w:rsid w:val="002A4542"/>
    <w:rsid w:val="00312DEC"/>
    <w:rsid w:val="00573429"/>
    <w:rsid w:val="005768B6"/>
    <w:rsid w:val="005C5A85"/>
    <w:rsid w:val="00772BF4"/>
    <w:rsid w:val="00843A82"/>
    <w:rsid w:val="0097295D"/>
    <w:rsid w:val="00A01226"/>
    <w:rsid w:val="00AA35EE"/>
    <w:rsid w:val="00BB0761"/>
    <w:rsid w:val="00D14912"/>
    <w:rsid w:val="00F42D67"/>
    <w:rsid w:val="00F56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D67"/>
  </w:style>
  <w:style w:type="paragraph" w:styleId="Heading2">
    <w:name w:val="heading 2"/>
    <w:basedOn w:val="Normal"/>
    <w:next w:val="Normal"/>
    <w:link w:val="Heading2Char"/>
    <w:uiPriority w:val="9"/>
    <w:unhideWhenUsed/>
    <w:qFormat/>
    <w:rsid w:val="00F42D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42D6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42D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2D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42D6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42D67"/>
    <w:rPr>
      <w:rFonts w:asciiTheme="majorHAnsi" w:eastAsiaTheme="majorEastAsia" w:hAnsiTheme="majorHAnsi" w:cstheme="majorBidi"/>
      <w:b/>
      <w:bCs/>
      <w:i/>
      <w:iCs/>
      <w:color w:val="4F81BD" w:themeColor="accent1"/>
    </w:rPr>
  </w:style>
  <w:style w:type="character" w:customStyle="1" w:styleId="mw-headline">
    <w:name w:val="mw-headline"/>
    <w:basedOn w:val="DefaultParagraphFont"/>
    <w:rsid w:val="00F42D67"/>
  </w:style>
  <w:style w:type="character" w:styleId="Hyperlink">
    <w:name w:val="Hyperlink"/>
    <w:basedOn w:val="DefaultParagraphFont"/>
    <w:uiPriority w:val="99"/>
    <w:unhideWhenUsed/>
    <w:rsid w:val="00F42D67"/>
    <w:rPr>
      <w:color w:val="0000FF"/>
      <w:u w:val="single"/>
    </w:rPr>
  </w:style>
  <w:style w:type="character" w:styleId="FollowedHyperlink">
    <w:name w:val="FollowedHyperlink"/>
    <w:basedOn w:val="DefaultParagraphFont"/>
    <w:uiPriority w:val="99"/>
    <w:semiHidden/>
    <w:unhideWhenUsed/>
    <w:rsid w:val="00F42D67"/>
    <w:rPr>
      <w:color w:val="800080" w:themeColor="followedHyperlink"/>
      <w:u w:val="single"/>
    </w:rPr>
  </w:style>
  <w:style w:type="paragraph" w:styleId="BalloonText">
    <w:name w:val="Balloon Text"/>
    <w:basedOn w:val="Normal"/>
    <w:link w:val="BalloonTextChar"/>
    <w:uiPriority w:val="99"/>
    <w:semiHidden/>
    <w:unhideWhenUsed/>
    <w:rsid w:val="00F42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D67"/>
    <w:rPr>
      <w:rFonts w:ascii="Tahoma" w:hAnsi="Tahoma" w:cs="Tahoma"/>
      <w:sz w:val="16"/>
      <w:szCs w:val="16"/>
    </w:rPr>
  </w:style>
  <w:style w:type="paragraph" w:styleId="ListParagraph">
    <w:name w:val="List Paragraph"/>
    <w:basedOn w:val="Normal"/>
    <w:uiPriority w:val="34"/>
    <w:qFormat/>
    <w:rsid w:val="005734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D67"/>
  </w:style>
  <w:style w:type="paragraph" w:styleId="Heading2">
    <w:name w:val="heading 2"/>
    <w:basedOn w:val="Normal"/>
    <w:next w:val="Normal"/>
    <w:link w:val="Heading2Char"/>
    <w:uiPriority w:val="9"/>
    <w:unhideWhenUsed/>
    <w:qFormat/>
    <w:rsid w:val="00F42D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42D67"/>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42D6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2D6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42D6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42D67"/>
    <w:rPr>
      <w:rFonts w:asciiTheme="majorHAnsi" w:eastAsiaTheme="majorEastAsia" w:hAnsiTheme="majorHAnsi" w:cstheme="majorBidi"/>
      <w:b/>
      <w:bCs/>
      <w:i/>
      <w:iCs/>
      <w:color w:val="4F81BD" w:themeColor="accent1"/>
    </w:rPr>
  </w:style>
  <w:style w:type="character" w:customStyle="1" w:styleId="mw-headline">
    <w:name w:val="mw-headline"/>
    <w:basedOn w:val="DefaultParagraphFont"/>
    <w:rsid w:val="00F42D67"/>
  </w:style>
  <w:style w:type="character" w:styleId="Hyperlink">
    <w:name w:val="Hyperlink"/>
    <w:basedOn w:val="DefaultParagraphFont"/>
    <w:uiPriority w:val="99"/>
    <w:unhideWhenUsed/>
    <w:rsid w:val="00F42D67"/>
    <w:rPr>
      <w:color w:val="0000FF"/>
      <w:u w:val="single"/>
    </w:rPr>
  </w:style>
  <w:style w:type="character" w:styleId="FollowedHyperlink">
    <w:name w:val="FollowedHyperlink"/>
    <w:basedOn w:val="DefaultParagraphFont"/>
    <w:uiPriority w:val="99"/>
    <w:semiHidden/>
    <w:unhideWhenUsed/>
    <w:rsid w:val="00F42D67"/>
    <w:rPr>
      <w:color w:val="800080" w:themeColor="followedHyperlink"/>
      <w:u w:val="single"/>
    </w:rPr>
  </w:style>
  <w:style w:type="paragraph" w:styleId="BalloonText">
    <w:name w:val="Balloon Text"/>
    <w:basedOn w:val="Normal"/>
    <w:link w:val="BalloonTextChar"/>
    <w:uiPriority w:val="99"/>
    <w:semiHidden/>
    <w:unhideWhenUsed/>
    <w:rsid w:val="00F42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D67"/>
    <w:rPr>
      <w:rFonts w:ascii="Tahoma" w:hAnsi="Tahoma" w:cs="Tahoma"/>
      <w:sz w:val="16"/>
      <w:szCs w:val="16"/>
    </w:rPr>
  </w:style>
  <w:style w:type="paragraph" w:styleId="ListParagraph">
    <w:name w:val="List Paragraph"/>
    <w:basedOn w:val="Normal"/>
    <w:uiPriority w:val="34"/>
    <w:qFormat/>
    <w:rsid w:val="005734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rmwater.pca.state.mn.us/index.php/Construction_specifications_for_stormwater_ponds"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tormwater.pca.state.mn.us/index.php/Design_criteria_for_stormwater_ponds"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ormh2o.com/SW/Articles/Kerplunk_15253.aspx" TargetMode="Externa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tormwater.pca.state.mn.us/index.php/Operation_and_maintenance_of_stormwater_pond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Barr Engineering Co.</Company>
  <LinksUpToDate>false</LinksUpToDate>
  <CharactersWithSpaces>6537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2014-06-30T14:31:00Z</dcterms:created>
  <dcterms:modified xsi:type="dcterms:W3CDTF">2014-06-30T14:58:00Z</dcterms:modified>
</cp:coreProperties>
</file>