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BFA" w:rsidRPr="004E1253" w:rsidRDefault="00511BFA" w:rsidP="00511BFA">
      <w:pPr>
        <w:pStyle w:val="Heading1"/>
        <w:rPr>
          <w:lang w:val="en"/>
        </w:rPr>
      </w:pPr>
      <w:r>
        <w:rPr>
          <w:lang w:val="en"/>
        </w:rPr>
        <w:t>MIDS C</w:t>
      </w:r>
      <w:r w:rsidRPr="004E1253">
        <w:rPr>
          <w:lang w:val="en"/>
        </w:rPr>
        <w:t>alculator</w:t>
      </w:r>
    </w:p>
    <w:p w:rsidR="00511BFA" w:rsidRPr="004E1253" w:rsidRDefault="00511BFA" w:rsidP="00511BFA">
      <w:pPr>
        <w:pStyle w:val="Heading2"/>
        <w:rPr>
          <w:lang w:val="en"/>
        </w:rPr>
      </w:pPr>
      <w:r w:rsidRPr="004E1253">
        <w:rPr>
          <w:lang w:val="en"/>
        </w:rPr>
        <w:t>Overview</w:t>
      </w:r>
    </w:p>
    <w:p w:rsidR="004F1F30" w:rsidRDefault="00B96C5F" w:rsidP="00C216D7">
      <w:pPr>
        <w:spacing w:before="100" w:beforeAutospacing="1"/>
      </w:pPr>
      <w:r>
        <w:t xml:space="preserve">A </w:t>
      </w:r>
      <w:r w:rsidR="008E4AAA">
        <w:t>Minimal Impact Design Standards (</w:t>
      </w:r>
      <w:r>
        <w:t>MIDS</w:t>
      </w:r>
      <w:r w:rsidR="008E4AAA">
        <w:t>)</w:t>
      </w:r>
      <w:r>
        <w:t xml:space="preserve"> </w:t>
      </w:r>
      <w:r w:rsidR="00B33A7F">
        <w:t>best management practice (</w:t>
      </w:r>
      <w:r>
        <w:t>BMP</w:t>
      </w:r>
      <w:r w:rsidR="00B33A7F">
        <w:t>)</w:t>
      </w:r>
      <w:r>
        <w:t xml:space="preserve"> calculator was developed t</w:t>
      </w:r>
      <w:r w:rsidR="004F1F30">
        <w:t xml:space="preserve">o assist designers and regulators in determining conformance to the </w:t>
      </w:r>
      <w:hyperlink r:id="rId7" w:history="1">
        <w:r w:rsidR="004F1F30" w:rsidRPr="00BF0AE0">
          <w:rPr>
            <w:rStyle w:val="Hyperlink"/>
          </w:rPr>
          <w:t>MIDS performance goals</w:t>
        </w:r>
      </w:hyperlink>
      <w:r>
        <w:t xml:space="preserve">. The </w:t>
      </w:r>
      <w:r w:rsidR="004F1F30">
        <w:t xml:space="preserve">MIDS BMP calculator </w:t>
      </w:r>
      <w:r>
        <w:t>is</w:t>
      </w:r>
      <w:r w:rsidR="004F1F30">
        <w:t xml:space="preserve"> a tool </w:t>
      </w:r>
      <w:r>
        <w:t xml:space="preserve">used </w:t>
      </w:r>
      <w:r w:rsidR="004F1F30">
        <w:t xml:space="preserve">to determine </w:t>
      </w:r>
      <w:r w:rsidR="006C3FAB">
        <w:t xml:space="preserve">stormwater runoff </w:t>
      </w:r>
      <w:r w:rsidR="004F1F30">
        <w:t>volume and pollutant reduction capabilities of</w:t>
      </w:r>
      <w:r w:rsidR="008E4AAA">
        <w:t xml:space="preserve"> various low impact development </w:t>
      </w:r>
      <w:r w:rsidR="004F1F30">
        <w:t>(</w:t>
      </w:r>
      <w:r w:rsidR="008E4AAA">
        <w:t xml:space="preserve">LID) </w:t>
      </w:r>
      <w:r w:rsidR="004F1F30">
        <w:t xml:space="preserve">BMPs. The MIDS calculator estimates </w:t>
      </w:r>
      <w:r w:rsidR="006C3FAB">
        <w:t xml:space="preserve">the stormwater runoff </w:t>
      </w:r>
      <w:r w:rsidR="004F1F30">
        <w:t xml:space="preserve">volume reductions </w:t>
      </w:r>
      <w:r w:rsidR="006C3FAB">
        <w:t xml:space="preserve">for various BMPs </w:t>
      </w:r>
      <w:r w:rsidR="004F1F30">
        <w:t xml:space="preserve">based on the </w:t>
      </w:r>
      <w:r w:rsidR="006C3FAB">
        <w:t xml:space="preserve">MIDS </w:t>
      </w:r>
      <w:r w:rsidR="00A743B9" w:rsidRPr="00A743B9">
        <w:t>performance goal</w:t>
      </w:r>
      <w:r w:rsidR="00A743B9">
        <w:t xml:space="preserve"> (</w:t>
      </w:r>
      <w:r w:rsidR="004F1F30">
        <w:t>1.1 inches of runoff off impervious surfaces</w:t>
      </w:r>
      <w:r w:rsidR="00A743B9">
        <w:t>)</w:t>
      </w:r>
      <w:r w:rsidR="004F1F30">
        <w:t xml:space="preserve"> and annual pollutant load reductions for total phosphorus (including a breakdown between particulate and dissolved phosphorus) and total suspended solids (TSS). </w:t>
      </w:r>
    </w:p>
    <w:p w:rsidR="006734C6" w:rsidRDefault="006734C6" w:rsidP="006734C6">
      <w:pPr>
        <w:rPr>
          <w:lang w:val="en"/>
        </w:rPr>
      </w:pPr>
      <w:r>
        <w:rPr>
          <w:lang w:val="en"/>
        </w:rPr>
        <w:t xml:space="preserve">The MIDs calculator is designed in </w:t>
      </w:r>
      <w:r w:rsidR="006C3FAB">
        <w:rPr>
          <w:lang w:val="en"/>
        </w:rPr>
        <w:t>Microsoft E</w:t>
      </w:r>
      <w:r>
        <w:rPr>
          <w:lang w:val="en"/>
        </w:rPr>
        <w:t>xcel with a graphical user</w:t>
      </w:r>
      <w:bookmarkStart w:id="0" w:name="_GoBack"/>
      <w:bookmarkEnd w:id="0"/>
      <w:r>
        <w:rPr>
          <w:lang w:val="en"/>
        </w:rPr>
        <w:t xml:space="preserve"> interface (GUI)</w:t>
      </w:r>
      <w:r w:rsidR="00305F36">
        <w:rPr>
          <w:lang w:val="en"/>
        </w:rPr>
        <w:t>,</w:t>
      </w:r>
      <w:r>
        <w:rPr>
          <w:lang w:val="en"/>
        </w:rPr>
        <w:t xml:space="preserve"> </w:t>
      </w:r>
      <w:r w:rsidR="00044520">
        <w:rPr>
          <w:lang w:val="en"/>
        </w:rPr>
        <w:t>packaged as a windows application</w:t>
      </w:r>
      <w:r w:rsidR="00305F36">
        <w:rPr>
          <w:lang w:val="en"/>
        </w:rPr>
        <w:t>,</w:t>
      </w:r>
      <w:r w:rsidR="00044520">
        <w:rPr>
          <w:lang w:val="en"/>
        </w:rPr>
        <w:t xml:space="preserve"> </w:t>
      </w:r>
      <w:r>
        <w:rPr>
          <w:lang w:val="en"/>
        </w:rPr>
        <w:t xml:space="preserve">used to organize input parameters.  The </w:t>
      </w:r>
      <w:r w:rsidR="006C3FAB">
        <w:rPr>
          <w:lang w:val="en"/>
        </w:rPr>
        <w:t>E</w:t>
      </w:r>
      <w:r>
        <w:rPr>
          <w:lang w:val="en"/>
        </w:rPr>
        <w:t xml:space="preserve">xcel spreadsheet conducts the calculations and stores parameters, while the GUI </w:t>
      </w:r>
      <w:r w:rsidR="008368A0">
        <w:rPr>
          <w:lang w:val="en"/>
        </w:rPr>
        <w:t xml:space="preserve">provides a platform that allows the user to enter </w:t>
      </w:r>
      <w:r>
        <w:rPr>
          <w:lang w:val="en"/>
        </w:rPr>
        <w:t>data and presents results in a user</w:t>
      </w:r>
      <w:r w:rsidR="006C3FAB">
        <w:rPr>
          <w:lang w:val="en"/>
        </w:rPr>
        <w:t>-</w:t>
      </w:r>
      <w:r>
        <w:rPr>
          <w:lang w:val="en"/>
        </w:rPr>
        <w:t xml:space="preserve">friendly </w:t>
      </w:r>
      <w:r w:rsidR="00D21150">
        <w:rPr>
          <w:lang w:val="en"/>
        </w:rPr>
        <w:t>manner</w:t>
      </w:r>
      <w:r>
        <w:rPr>
          <w:lang w:val="en"/>
        </w:rPr>
        <w:t xml:space="preserve">.  </w:t>
      </w:r>
    </w:p>
    <w:p w:rsidR="006734C6" w:rsidRPr="00D21150" w:rsidRDefault="006734C6" w:rsidP="004F1F30">
      <w:pPr>
        <w:rPr>
          <w:lang w:val="en"/>
        </w:rPr>
      </w:pPr>
      <w:r>
        <w:rPr>
          <w:lang w:val="en"/>
        </w:rPr>
        <w:t>The MIDS calculator is divided into four main components</w:t>
      </w:r>
      <w:r w:rsidR="00044520">
        <w:rPr>
          <w:lang w:val="en"/>
        </w:rPr>
        <w:t>:</w:t>
      </w:r>
      <w:r>
        <w:rPr>
          <w:lang w:val="en"/>
        </w:rPr>
        <w:t xml:space="preserve"> the “Site information”</w:t>
      </w:r>
      <w:r w:rsidR="00D21150">
        <w:rPr>
          <w:lang w:val="en"/>
        </w:rPr>
        <w:t xml:space="preserve"> tab</w:t>
      </w:r>
      <w:r>
        <w:rPr>
          <w:lang w:val="en"/>
        </w:rPr>
        <w:t>, “Schematic”</w:t>
      </w:r>
      <w:r w:rsidR="00D21150">
        <w:rPr>
          <w:lang w:val="en"/>
        </w:rPr>
        <w:t xml:space="preserve"> tab</w:t>
      </w:r>
      <w:r>
        <w:rPr>
          <w:lang w:val="en"/>
        </w:rPr>
        <w:t xml:space="preserve">, “BMP Properties” </w:t>
      </w:r>
      <w:r w:rsidR="00D21150">
        <w:rPr>
          <w:lang w:val="en"/>
        </w:rPr>
        <w:t xml:space="preserve">window, </w:t>
      </w:r>
      <w:r>
        <w:rPr>
          <w:lang w:val="en"/>
        </w:rPr>
        <w:t>and “Results”</w:t>
      </w:r>
      <w:r w:rsidR="00D21150">
        <w:rPr>
          <w:lang w:val="en"/>
        </w:rPr>
        <w:t xml:space="preserve"> tab</w:t>
      </w:r>
      <w:r>
        <w:rPr>
          <w:lang w:val="en"/>
        </w:rPr>
        <w:t xml:space="preserve">.  </w:t>
      </w:r>
      <w:r w:rsidR="00A336DA">
        <w:rPr>
          <w:lang w:val="en"/>
        </w:rPr>
        <w:t>The “Site information” tab is where the user enters information for the entire site being studied.  This include</w:t>
      </w:r>
      <w:r w:rsidR="00044520">
        <w:rPr>
          <w:lang w:val="en"/>
        </w:rPr>
        <w:t>s</w:t>
      </w:r>
      <w:r w:rsidR="00A336DA">
        <w:rPr>
          <w:lang w:val="en"/>
        </w:rPr>
        <w:t xml:space="preserve"> information used to calculate annual precipitation for the study area, average pollutant concentrations in runoff from the entire site, as well as </w:t>
      </w:r>
      <w:r w:rsidR="00A743B9">
        <w:rPr>
          <w:lang w:val="en"/>
        </w:rPr>
        <w:t>land used areas</w:t>
      </w:r>
      <w:r w:rsidR="00A336DA">
        <w:rPr>
          <w:lang w:val="en"/>
        </w:rPr>
        <w:t xml:space="preserve"> for the entire study area.  The “Schematic” tab is where the user adds or remo</w:t>
      </w:r>
      <w:r w:rsidR="00905FE5">
        <w:rPr>
          <w:lang w:val="en"/>
        </w:rPr>
        <w:t xml:space="preserve">ves BMPs to the </w:t>
      </w:r>
      <w:r w:rsidR="00A743B9">
        <w:rPr>
          <w:lang w:val="en"/>
        </w:rPr>
        <w:t>site</w:t>
      </w:r>
      <w:r w:rsidR="00044520">
        <w:rPr>
          <w:lang w:val="en"/>
        </w:rPr>
        <w:t xml:space="preserve"> and provides a visual diagram of all BMPs and routing between BMPs</w:t>
      </w:r>
      <w:r w:rsidR="00905FE5">
        <w:rPr>
          <w:lang w:val="en"/>
        </w:rPr>
        <w:t xml:space="preserve">.  In the “BMP Properties” window the user enters </w:t>
      </w:r>
      <w:r w:rsidR="00A743B9">
        <w:rPr>
          <w:lang w:val="en"/>
        </w:rPr>
        <w:t>land use areas</w:t>
      </w:r>
      <w:r w:rsidR="00044520">
        <w:rPr>
          <w:lang w:val="en"/>
        </w:rPr>
        <w:t>, routing information,</w:t>
      </w:r>
      <w:r w:rsidR="00905FE5">
        <w:rPr>
          <w:lang w:val="en"/>
        </w:rPr>
        <w:t xml:space="preserve"> and design parameters specific to an individual BMP.  Finally, in the “Results”</w:t>
      </w:r>
      <w:r w:rsidR="00044520">
        <w:rPr>
          <w:lang w:val="en"/>
        </w:rPr>
        <w:t xml:space="preserve"> tab</w:t>
      </w:r>
      <w:r w:rsidR="006C3FAB">
        <w:rPr>
          <w:lang w:val="en"/>
        </w:rPr>
        <w:t>,</w:t>
      </w:r>
      <w:r w:rsidR="00044520">
        <w:rPr>
          <w:lang w:val="en"/>
        </w:rPr>
        <w:t xml:space="preserve"> </w:t>
      </w:r>
      <w:r w:rsidR="00905FE5">
        <w:rPr>
          <w:lang w:val="en"/>
        </w:rPr>
        <w:t>results are displayed for the entire site as well as individual BMPs</w:t>
      </w:r>
      <w:r w:rsidR="00044520">
        <w:rPr>
          <w:lang w:val="en"/>
        </w:rPr>
        <w:t>. Results include pollutant removal rates and loads, annual volume reduction,</w:t>
      </w:r>
      <w:r w:rsidR="00905FE5">
        <w:rPr>
          <w:lang w:val="en"/>
        </w:rPr>
        <w:t xml:space="preserve"> as well as conformance to the MIDS performance goal.  A detailed</w:t>
      </w:r>
      <w:r w:rsidR="008C581D">
        <w:rPr>
          <w:lang w:val="en"/>
        </w:rPr>
        <w:t xml:space="preserve"> overview of </w:t>
      </w:r>
      <w:r w:rsidR="00905FE5">
        <w:rPr>
          <w:lang w:val="en"/>
        </w:rPr>
        <w:t xml:space="preserve">individual </w:t>
      </w:r>
      <w:r w:rsidR="008C581D">
        <w:rPr>
          <w:lang w:val="en"/>
        </w:rPr>
        <w:t>input parameters</w:t>
      </w:r>
      <w:r w:rsidR="00C43F30">
        <w:rPr>
          <w:lang w:val="en"/>
        </w:rPr>
        <w:t xml:space="preserve"> and workflows </w:t>
      </w:r>
      <w:r w:rsidR="00D21150">
        <w:rPr>
          <w:lang w:val="en"/>
        </w:rPr>
        <w:t xml:space="preserve">is presented </w:t>
      </w:r>
      <w:r w:rsidR="00C43F30">
        <w:rPr>
          <w:lang w:val="en"/>
        </w:rPr>
        <w:t xml:space="preserve">in the </w:t>
      </w:r>
      <w:hyperlink r:id="rId8" w:history="1">
        <w:r w:rsidR="00C43F30" w:rsidRPr="00762120">
          <w:rPr>
            <w:rStyle w:val="Hyperlink"/>
            <w:lang w:val="en"/>
          </w:rPr>
          <w:t>MIDS calculator User Doc</w:t>
        </w:r>
        <w:r w:rsidR="00C43F30" w:rsidRPr="00762120">
          <w:rPr>
            <w:rStyle w:val="Hyperlink"/>
            <w:lang w:val="en"/>
          </w:rPr>
          <w:t>u</w:t>
        </w:r>
        <w:r w:rsidR="00C43F30" w:rsidRPr="00762120">
          <w:rPr>
            <w:rStyle w:val="Hyperlink"/>
            <w:lang w:val="en"/>
          </w:rPr>
          <w:t>mentation</w:t>
        </w:r>
      </w:hyperlink>
      <w:r w:rsidR="00C43F30">
        <w:rPr>
          <w:lang w:val="en"/>
        </w:rPr>
        <w:t>.  Below is a detailed discussion of the main objectives of the MIDS calculator and the calculations that take place to meet those objectives.</w:t>
      </w:r>
    </w:p>
    <w:p w:rsidR="00511BFA" w:rsidRPr="004E1253" w:rsidRDefault="00511BFA" w:rsidP="00511BFA">
      <w:pPr>
        <w:pStyle w:val="Heading2"/>
        <w:rPr>
          <w:lang w:val="en"/>
        </w:rPr>
      </w:pPr>
      <w:r w:rsidRPr="004E1253">
        <w:rPr>
          <w:lang w:val="en"/>
        </w:rPr>
        <w:t>Objectives</w:t>
      </w:r>
    </w:p>
    <w:p w:rsidR="002122F2" w:rsidRDefault="00791DDC" w:rsidP="00C216D7">
      <w:pPr>
        <w:spacing w:before="100" w:beforeAutospacing="1"/>
      </w:pPr>
      <w:r>
        <w:t>The calculator has f</w:t>
      </w:r>
      <w:r w:rsidR="00044520">
        <w:t>ive</w:t>
      </w:r>
      <w:r>
        <w:t xml:space="preserve"> main objectives:</w:t>
      </w:r>
    </w:p>
    <w:p w:rsidR="00FD4768" w:rsidRDefault="007D5382" w:rsidP="004F1F30">
      <w:pPr>
        <w:pStyle w:val="ListParagraph"/>
        <w:numPr>
          <w:ilvl w:val="0"/>
          <w:numId w:val="1"/>
        </w:numPr>
      </w:pPr>
      <w:r>
        <w:t xml:space="preserve">Calculates the </w:t>
      </w:r>
      <w:r w:rsidR="006C3FAB">
        <w:t xml:space="preserve">stormwater runoff </w:t>
      </w:r>
      <w:r>
        <w:t>volume reduction performance goal for a site</w:t>
      </w:r>
      <w:r w:rsidR="00044520">
        <w:t>.</w:t>
      </w:r>
    </w:p>
    <w:p w:rsidR="007D5382" w:rsidRDefault="007D5382" w:rsidP="004F1F30">
      <w:pPr>
        <w:pStyle w:val="ListParagraph"/>
        <w:numPr>
          <w:ilvl w:val="0"/>
          <w:numId w:val="1"/>
        </w:numPr>
      </w:pPr>
      <w:r>
        <w:t xml:space="preserve">Calculates annual </w:t>
      </w:r>
      <w:r w:rsidR="006C3FAB">
        <w:t xml:space="preserve">stormwater </w:t>
      </w:r>
      <w:r w:rsidR="00E401ED">
        <w:t xml:space="preserve">runoff volumes and </w:t>
      </w:r>
      <w:r>
        <w:t>pollutant loads</w:t>
      </w:r>
      <w:r w:rsidR="00044520">
        <w:t xml:space="preserve"> (total suspended sediment, dissolved phosphorus, and particulate phosphorus)</w:t>
      </w:r>
      <w:r>
        <w:t xml:space="preserve"> from site</w:t>
      </w:r>
      <w:r w:rsidR="00044520">
        <w:t>.</w:t>
      </w:r>
    </w:p>
    <w:p w:rsidR="00044520" w:rsidRDefault="00B2291A" w:rsidP="004F1F30">
      <w:pPr>
        <w:pStyle w:val="ListParagraph"/>
        <w:numPr>
          <w:ilvl w:val="0"/>
          <w:numId w:val="1"/>
        </w:numPr>
      </w:pPr>
      <w:r>
        <w:t>Provides a method</w:t>
      </w:r>
      <w:r w:rsidR="00E401ED">
        <w:t xml:space="preserve"> to </w:t>
      </w:r>
      <w:r>
        <w:t xml:space="preserve">add stormwater </w:t>
      </w:r>
      <w:r w:rsidR="00044520">
        <w:t>BMPs</w:t>
      </w:r>
      <w:r w:rsidR="00E401ED">
        <w:t xml:space="preserve">, </w:t>
      </w:r>
      <w:r w:rsidR="00044520">
        <w:t>input BMP</w:t>
      </w:r>
      <w:r>
        <w:t xml:space="preserve"> specific </w:t>
      </w:r>
      <w:r w:rsidR="007D5382">
        <w:t>parameters</w:t>
      </w:r>
      <w:r w:rsidR="00E401ED">
        <w:t xml:space="preserve">, and route </w:t>
      </w:r>
      <w:r w:rsidR="003D650D">
        <w:t>overfl</w:t>
      </w:r>
      <w:r w:rsidR="00A05215">
        <w:t>o</w:t>
      </w:r>
      <w:r w:rsidR="003D650D">
        <w:t xml:space="preserve">w stormwater and pollutants to downstream </w:t>
      </w:r>
      <w:r>
        <w:t>practices</w:t>
      </w:r>
      <w:r w:rsidR="00044520">
        <w:t>.</w:t>
      </w:r>
    </w:p>
    <w:p w:rsidR="007D5382" w:rsidRDefault="00044520" w:rsidP="004F1F30">
      <w:pPr>
        <w:pStyle w:val="ListParagraph"/>
        <w:numPr>
          <w:ilvl w:val="0"/>
          <w:numId w:val="1"/>
        </w:numPr>
      </w:pPr>
      <w:r>
        <w:lastRenderedPageBreak/>
        <w:t xml:space="preserve">Calculate </w:t>
      </w:r>
      <w:r w:rsidR="006C3FAB">
        <w:t xml:space="preserve">stormwater runoff </w:t>
      </w:r>
      <w:r>
        <w:t>volume reduction achieved toward the performance goal</w:t>
      </w:r>
      <w:r w:rsidR="006C3FAB">
        <w:t xml:space="preserve"> and</w:t>
      </w:r>
      <w:r>
        <w:t xml:space="preserve"> annual </w:t>
      </w:r>
      <w:r w:rsidR="006C3FAB">
        <w:t xml:space="preserve">stormwater </w:t>
      </w:r>
      <w:r>
        <w:t xml:space="preserve">volume and pollutant load reductions for each individual BMP </w:t>
      </w:r>
      <w:r w:rsidR="006C3FAB">
        <w:t>and</w:t>
      </w:r>
      <w:r>
        <w:t xml:space="preserve"> the entire site.</w:t>
      </w:r>
    </w:p>
    <w:p w:rsidR="00CD7154" w:rsidRDefault="00D21150" w:rsidP="004F1F30">
      <w:pPr>
        <w:pStyle w:val="ListParagraph"/>
        <w:numPr>
          <w:ilvl w:val="0"/>
          <w:numId w:val="1"/>
        </w:numPr>
      </w:pPr>
      <w:r>
        <w:t>Report results</w:t>
      </w:r>
      <w:r w:rsidR="006C3FAB">
        <w:t>,</w:t>
      </w:r>
      <w:r>
        <w:t xml:space="preserve"> </w:t>
      </w:r>
      <w:r w:rsidR="00791DDC">
        <w:t>including</w:t>
      </w:r>
      <w:r w:rsidR="00CD7154">
        <w:t xml:space="preserve"> </w:t>
      </w:r>
      <w:r w:rsidR="006C3FAB">
        <w:t xml:space="preserve">stormwater runoff </w:t>
      </w:r>
      <w:r w:rsidR="00CD7154">
        <w:t xml:space="preserve">volume reduction applied toward the performance goal, </w:t>
      </w:r>
      <w:r w:rsidR="00791DDC">
        <w:t xml:space="preserve">annual </w:t>
      </w:r>
      <w:r w:rsidR="00CD7154">
        <w:t>pollutant load reductions for TSS, dissolved phosphorus</w:t>
      </w:r>
      <w:r w:rsidR="006C3FAB">
        <w:t>,</w:t>
      </w:r>
      <w:r w:rsidR="00CD7154">
        <w:t xml:space="preserve"> and particulate phosphorus, as well as annual </w:t>
      </w:r>
      <w:r w:rsidR="006C3FAB">
        <w:t xml:space="preserve">stormwater </w:t>
      </w:r>
      <w:r w:rsidR="00CD7154">
        <w:t>volume reduction</w:t>
      </w:r>
      <w:r w:rsidR="00F41F77">
        <w:t xml:space="preserve"> for the entire site and </w:t>
      </w:r>
      <w:r>
        <w:t>individual BMPs</w:t>
      </w:r>
      <w:r w:rsidR="00CD7154">
        <w:t>.</w:t>
      </w:r>
    </w:p>
    <w:p w:rsidR="00CD7154" w:rsidRDefault="006734C6" w:rsidP="008C1560">
      <w:pPr>
        <w:pStyle w:val="Heading3"/>
        <w:rPr>
          <w:lang w:val="en"/>
        </w:rPr>
      </w:pPr>
      <w:r>
        <w:rPr>
          <w:lang w:val="en"/>
        </w:rPr>
        <w:t>C</w:t>
      </w:r>
      <w:r w:rsidR="00CD7154">
        <w:rPr>
          <w:lang w:val="en"/>
        </w:rPr>
        <w:t xml:space="preserve">alculate </w:t>
      </w:r>
      <w:r>
        <w:rPr>
          <w:lang w:val="en"/>
        </w:rPr>
        <w:t xml:space="preserve">Volume Reduction </w:t>
      </w:r>
      <w:r w:rsidR="00CD7154">
        <w:rPr>
          <w:lang w:val="en"/>
        </w:rPr>
        <w:t>Performance Goal</w:t>
      </w:r>
    </w:p>
    <w:p w:rsidR="00DF1862" w:rsidRDefault="00D21150" w:rsidP="00C216D7">
      <w:pPr>
        <w:spacing w:before="100" w:beforeAutospacing="1"/>
      </w:pPr>
      <w:r>
        <w:t xml:space="preserve">The first objective of the MIDS calculator is to determine </w:t>
      </w:r>
      <w:r w:rsidR="008E4AAA">
        <w:t xml:space="preserve">the </w:t>
      </w:r>
      <w:r w:rsidR="006C3FAB">
        <w:t xml:space="preserve">stormwater runoff </w:t>
      </w:r>
      <w:r>
        <w:t xml:space="preserve">volume reduction performance goal requirement for a site. </w:t>
      </w:r>
      <w:r w:rsidR="00DF1862">
        <w:t>Th</w:t>
      </w:r>
      <w:r w:rsidR="008C581D">
        <w:t xml:space="preserve">rough the implementation of the </w:t>
      </w:r>
      <w:hyperlink r:id="rId9" w:history="1">
        <w:r w:rsidR="008C581D" w:rsidRPr="00D21150">
          <w:rPr>
            <w:rStyle w:val="Hyperlink"/>
          </w:rPr>
          <w:t>MIDS</w:t>
        </w:r>
        <w:r w:rsidR="00DF1862" w:rsidRPr="00D21150">
          <w:rPr>
            <w:rStyle w:val="Hyperlink"/>
          </w:rPr>
          <w:t xml:space="preserve"> statute</w:t>
        </w:r>
      </w:hyperlink>
      <w:r w:rsidR="00DF1862" w:rsidRPr="00D21150">
        <w:t>,</w:t>
      </w:r>
      <w:r w:rsidR="00DF1862">
        <w:t xml:space="preserve"> the MIDS runoff volume performance goal was created</w:t>
      </w:r>
      <w:r w:rsidR="006C3FAB">
        <w:t>:</w:t>
      </w:r>
      <w:r w:rsidR="00DF1862">
        <w:t xml:space="preserve">  “For new, nonlinear developments that create more than one acre of new impervious surface on sites without restrictions, stormwater runoff volumes will be controlled and the post-construction runoff volume shall be retained on site for 1.1 inches of runoff from impervious surfaces statewide.” This goal is not time dependent but rather instantaneous. This means t</w:t>
      </w:r>
      <w:r w:rsidR="00C216D7">
        <w:t>hat a BMP</w:t>
      </w:r>
      <w:r w:rsidR="00DF1862">
        <w:t xml:space="preserve"> must retain the required </w:t>
      </w:r>
      <w:r w:rsidR="006C3FAB">
        <w:t xml:space="preserve">stormwater runoff </w:t>
      </w:r>
      <w:r w:rsidR="00DF1862">
        <w:t>volume whether it occurs in half an hour or over 12 hours.</w:t>
      </w:r>
    </w:p>
    <w:p w:rsidR="00DF1862" w:rsidRDefault="00DF1862" w:rsidP="00DF1862">
      <w:pPr>
        <w:contextualSpacing/>
      </w:pPr>
      <w:r>
        <w:t xml:space="preserve">For sites with restrictions, </w:t>
      </w:r>
      <w:r w:rsidR="006C3FAB">
        <w:t xml:space="preserve">the MIDS Work Group recommended </w:t>
      </w:r>
      <w:r>
        <w:t xml:space="preserve">a </w:t>
      </w:r>
      <w:hyperlink r:id="rId10" w:history="1">
        <w:r w:rsidRPr="0075781D">
          <w:rPr>
            <w:rStyle w:val="Hyperlink"/>
          </w:rPr>
          <w:t>flexible treatment option performance goal</w:t>
        </w:r>
      </w:hyperlink>
      <w:r>
        <w:t xml:space="preserve">. </w:t>
      </w:r>
      <w:r w:rsidR="00B000A4">
        <w:t>Depending on the feasibility and prudence of implementing BMPs on a site, the flexible treatment option performance goal includes</w:t>
      </w:r>
      <w:r>
        <w:t xml:space="preserve"> retaining on site at </w:t>
      </w:r>
      <w:r w:rsidRPr="00B644F0">
        <w:t>least 0.55</w:t>
      </w:r>
      <w:r>
        <w:t xml:space="preserve"> inches of runoff from impervious surfaces and removal of 75% of the annual total phosphorus load leaving the site.</w:t>
      </w:r>
      <w:r w:rsidR="006C3FAB">
        <w:t xml:space="preserve">  Less runoff volume and less total phosphorus load reduction is recommended for sites where implementing BMPs is not feasible or prudent.</w:t>
      </w:r>
      <w:r w:rsidR="00B000A4">
        <w:t xml:space="preserve">  Off-site stormwater treatment is also allowed.</w:t>
      </w:r>
    </w:p>
    <w:p w:rsidR="00FC6FC0" w:rsidRDefault="00FC6FC0" w:rsidP="00DF1862">
      <w:pPr>
        <w:contextualSpacing/>
      </w:pPr>
    </w:p>
    <w:p w:rsidR="00CD7154" w:rsidRDefault="00FC6FC0" w:rsidP="00CD7154">
      <w:pPr>
        <w:contextualSpacing/>
      </w:pPr>
      <w:r>
        <w:t xml:space="preserve">In the </w:t>
      </w:r>
      <w:r w:rsidR="00B000A4">
        <w:t xml:space="preserve">MIDs </w:t>
      </w:r>
      <w:r>
        <w:t>calculator</w:t>
      </w:r>
      <w:r w:rsidR="00B000A4">
        <w:t>,</w:t>
      </w:r>
      <w:r>
        <w:t xml:space="preserve"> the performance goal requirement is calculated by multiplying the </w:t>
      </w:r>
      <w:r w:rsidR="005016DF">
        <w:t>“Volume Retention R</w:t>
      </w:r>
      <w:r>
        <w:t>equirement</w:t>
      </w:r>
      <w:r w:rsidR="005016DF">
        <w:t>” by the i</w:t>
      </w:r>
      <w:r>
        <w:t xml:space="preserve">mpervious </w:t>
      </w:r>
      <w:r w:rsidR="005016DF">
        <w:t>area</w:t>
      </w:r>
      <w:r w:rsidR="008C581D">
        <w:t xml:space="preserve"> of</w:t>
      </w:r>
      <w:r>
        <w:t xml:space="preserve"> the site.  The default value for the volume retention requirement is 1.1 inches. This va</w:t>
      </w:r>
      <w:r w:rsidR="00B2291A">
        <w:t>lue can be changed</w:t>
      </w:r>
      <w:r w:rsidR="00B000A4">
        <w:t xml:space="preserve"> in the calculator to reflect the flexible treatment option</w:t>
      </w:r>
      <w:r>
        <w:t xml:space="preserve">.  For example, if flexible treatment options are </w:t>
      </w:r>
      <w:r w:rsidR="00B000A4">
        <w:t>needed</w:t>
      </w:r>
      <w:r w:rsidR="00BB5B0D">
        <w:t xml:space="preserve"> for the site</w:t>
      </w:r>
      <w:r w:rsidR="00B000A4">
        <w:t>,</w:t>
      </w:r>
      <w:r w:rsidR="00BB5B0D">
        <w:t xml:space="preserve"> the </w:t>
      </w:r>
      <w:r w:rsidR="00B000A4">
        <w:t xml:space="preserve">stormwater </w:t>
      </w:r>
      <w:r w:rsidR="00BB5B0D">
        <w:t>volume retention requirement can be change</w:t>
      </w:r>
      <w:r w:rsidR="00B000A4">
        <w:t>d</w:t>
      </w:r>
      <w:r w:rsidR="00BB5B0D">
        <w:t xml:space="preserve"> to 0.55 inches.</w:t>
      </w:r>
      <w:r w:rsidR="005016DF">
        <w:t xml:space="preserve">  </w:t>
      </w:r>
      <w:r w:rsidR="00B000A4">
        <w:t>If changed from the default value of 1.1 inches, the MIDS calculator warns the user</w:t>
      </w:r>
      <w:r w:rsidR="00C216D7">
        <w:t xml:space="preserve">. </w:t>
      </w:r>
      <w:r w:rsidR="005016DF">
        <w:t>The performance goal requirement is calculated in cubic feet.</w:t>
      </w:r>
    </w:p>
    <w:p w:rsidR="008C581D" w:rsidRPr="008C581D" w:rsidRDefault="008C581D" w:rsidP="00CD7154">
      <w:pPr>
        <w:contextualSpacing/>
      </w:pPr>
    </w:p>
    <w:p w:rsidR="00373D61" w:rsidRDefault="00373D61" w:rsidP="00CD7154">
      <w:pPr>
        <w:rPr>
          <w:lang w:val="en"/>
        </w:rPr>
      </w:pPr>
      <w:r>
        <w:rPr>
          <w:lang w:val="en"/>
        </w:rPr>
        <w:t xml:space="preserve">The performance goal is calculated for the entire site using the </w:t>
      </w:r>
      <w:r w:rsidR="00A743B9">
        <w:rPr>
          <w:lang w:val="en"/>
        </w:rPr>
        <w:t xml:space="preserve">land use </w:t>
      </w:r>
      <w:r>
        <w:rPr>
          <w:lang w:val="en"/>
        </w:rPr>
        <w:t>parameters entered in the “Site Information” tab as well as for each individual BMP using the impervious area entered for that BMP</w:t>
      </w:r>
      <w:r w:rsidR="008C581D">
        <w:rPr>
          <w:lang w:val="en"/>
        </w:rPr>
        <w:t xml:space="preserve"> in the BMP parameters </w:t>
      </w:r>
      <w:r w:rsidR="00B2291A">
        <w:rPr>
          <w:lang w:val="en"/>
        </w:rPr>
        <w:t>window “</w:t>
      </w:r>
      <w:r w:rsidR="008C581D">
        <w:rPr>
          <w:lang w:val="en"/>
        </w:rPr>
        <w:t>Watershed</w:t>
      </w:r>
      <w:r w:rsidR="00B2291A">
        <w:rPr>
          <w:lang w:val="en"/>
        </w:rPr>
        <w:t>”</w:t>
      </w:r>
      <w:r w:rsidR="008C581D">
        <w:rPr>
          <w:lang w:val="en"/>
        </w:rPr>
        <w:t xml:space="preserve"> tab</w:t>
      </w:r>
      <w:r>
        <w:rPr>
          <w:lang w:val="en"/>
        </w:rPr>
        <w:t>.</w:t>
      </w:r>
      <w:r w:rsidR="00C216D7">
        <w:rPr>
          <w:lang w:val="en"/>
        </w:rPr>
        <w:t xml:space="preserve">  This allows the user the track how </w:t>
      </w:r>
      <w:r w:rsidR="00B000A4">
        <w:rPr>
          <w:lang w:val="en"/>
        </w:rPr>
        <w:t>he or she is</w:t>
      </w:r>
      <w:r w:rsidR="00C216D7">
        <w:rPr>
          <w:lang w:val="en"/>
        </w:rPr>
        <w:t xml:space="preserve"> meeting the performance goal for the entire site </w:t>
      </w:r>
      <w:r w:rsidR="00B000A4">
        <w:rPr>
          <w:lang w:val="en"/>
        </w:rPr>
        <w:t>in addition to</w:t>
      </w:r>
      <w:r w:rsidR="00C216D7">
        <w:rPr>
          <w:lang w:val="en"/>
        </w:rPr>
        <w:t xml:space="preserve"> each individual BMP.  A screen shot of the “Site Information” tab with the “Volume retention Requirement” and site “Impervious area” fields used in the volume reduction performance goal calculation highlighted is displayed below.</w:t>
      </w:r>
    </w:p>
    <w:p w:rsidR="0047189D" w:rsidRDefault="00BE53A3" w:rsidP="0047189D">
      <w:pPr>
        <w:keepNext/>
      </w:pPr>
      <w:r>
        <w:rPr>
          <w:noProof/>
        </w:rPr>
        <w:lastRenderedPageBreak/>
        <mc:AlternateContent>
          <mc:Choice Requires="wps">
            <w:drawing>
              <wp:anchor distT="0" distB="0" distL="114300" distR="114300" simplePos="0" relativeHeight="251684864" behindDoc="0" locked="0" layoutInCell="1" allowOverlap="1" wp14:anchorId="7B934B36" wp14:editId="5CB9498E">
                <wp:simplePos x="0" y="0"/>
                <wp:positionH relativeFrom="column">
                  <wp:posOffset>3924935</wp:posOffset>
                </wp:positionH>
                <wp:positionV relativeFrom="paragraph">
                  <wp:posOffset>3348619</wp:posOffset>
                </wp:positionV>
                <wp:extent cx="1155700" cy="301625"/>
                <wp:effectExtent l="19050" t="19050" r="25400" b="22225"/>
                <wp:wrapNone/>
                <wp:docPr id="4" name="Rectangle 4"/>
                <wp:cNvGraphicFramePr/>
                <a:graphic xmlns:a="http://schemas.openxmlformats.org/drawingml/2006/main">
                  <a:graphicData uri="http://schemas.microsoft.com/office/word/2010/wordprocessingShape">
                    <wps:wsp>
                      <wps:cNvSpPr/>
                      <wps:spPr>
                        <a:xfrm>
                          <a:off x="0" y="0"/>
                          <a:ext cx="1155700" cy="3016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09.05pt;margin-top:263.65pt;width:91pt;height:2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" filled="f" strokecolor="red" strokeweight="3pt"/>
            </w:pict>
          </mc:Fallback>
        </mc:AlternateContent>
      </w:r>
      <w:r>
        <w:rPr>
          <w:noProof/>
        </w:rPr>
        <mc:AlternateContent>
          <mc:Choice Requires="wps">
            <w:drawing>
              <wp:anchor distT="0" distB="0" distL="114300" distR="114300" simplePos="0" relativeHeight="251682816" behindDoc="0" locked="0" layoutInCell="1" allowOverlap="1" wp14:anchorId="4B47BF00" wp14:editId="1A774ADA">
                <wp:simplePos x="0" y="0"/>
                <wp:positionH relativeFrom="column">
                  <wp:posOffset>1440180</wp:posOffset>
                </wp:positionH>
                <wp:positionV relativeFrom="paragraph">
                  <wp:posOffset>1631686</wp:posOffset>
                </wp:positionV>
                <wp:extent cx="1724660" cy="232410"/>
                <wp:effectExtent l="19050" t="19050" r="27940" b="15240"/>
                <wp:wrapNone/>
                <wp:docPr id="3" name="Rectangle 3"/>
                <wp:cNvGraphicFramePr/>
                <a:graphic xmlns:a="http://schemas.openxmlformats.org/drawingml/2006/main">
                  <a:graphicData uri="http://schemas.microsoft.com/office/word/2010/wordprocessingShape">
                    <wps:wsp>
                      <wps:cNvSpPr/>
                      <wps:spPr>
                        <a:xfrm>
                          <a:off x="0" y="0"/>
                          <a:ext cx="1724660" cy="23241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113.4pt;margin-top:128.5pt;width:135.8pt;height:18.3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" filled="f" strokecolor="red" strokeweight="3pt"/>
            </w:pict>
          </mc:Fallback>
        </mc:AlternateContent>
      </w:r>
      <w:r w:rsidR="00E30EC4">
        <w:rPr>
          <w:noProof/>
        </w:rPr>
        <w:drawing>
          <wp:inline distT="0" distB="0" distL="0" distR="0" wp14:anchorId="348A534E" wp14:editId="60C6E646">
            <wp:extent cx="5943600" cy="445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4457700"/>
                    </a:xfrm>
                    <a:prstGeom prst="rect">
                      <a:avLst/>
                    </a:prstGeom>
                  </pic:spPr>
                </pic:pic>
              </a:graphicData>
            </a:graphic>
          </wp:inline>
        </w:drawing>
      </w:r>
    </w:p>
    <w:p w:rsidR="0047189D" w:rsidRPr="00C74CDF" w:rsidRDefault="0047189D" w:rsidP="0047189D">
      <w:pPr>
        <w:pStyle w:val="Caption"/>
        <w:jc w:val="center"/>
        <w:rPr>
          <w:sz w:val="20"/>
          <w:szCs w:val="20"/>
          <w:lang w:val="en"/>
        </w:rPr>
      </w:pPr>
      <w:r w:rsidRPr="00C74CDF">
        <w:rPr>
          <w:sz w:val="20"/>
          <w:szCs w:val="20"/>
        </w:rPr>
        <w:t xml:space="preserve">Screen shot from </w:t>
      </w:r>
      <w:r w:rsidRPr="00C74CDF">
        <w:rPr>
          <w:sz w:val="20"/>
          <w:szCs w:val="20"/>
          <w:highlight w:val="yellow"/>
        </w:rPr>
        <w:t>bioretention basin (w/out an underdrain)</w:t>
      </w:r>
      <w:r w:rsidRPr="00C74CDF">
        <w:rPr>
          <w:sz w:val="20"/>
          <w:szCs w:val="20"/>
        </w:rPr>
        <w:t xml:space="preserve"> example</w:t>
      </w:r>
    </w:p>
    <w:p w:rsidR="00C216D7" w:rsidRDefault="00C216D7" w:rsidP="008C1560">
      <w:pPr>
        <w:pStyle w:val="Heading3"/>
        <w:rPr>
          <w:noProof/>
        </w:rPr>
      </w:pPr>
    </w:p>
    <w:p w:rsidR="00BB5B0D" w:rsidRDefault="00E401ED" w:rsidP="008C1560">
      <w:pPr>
        <w:pStyle w:val="Heading3"/>
        <w:rPr>
          <w:noProof/>
        </w:rPr>
      </w:pPr>
      <w:r>
        <w:rPr>
          <w:noProof/>
        </w:rPr>
        <w:t xml:space="preserve">Calculate </w:t>
      </w:r>
      <w:r w:rsidR="00B2291A">
        <w:rPr>
          <w:noProof/>
        </w:rPr>
        <w:t xml:space="preserve">runoff </w:t>
      </w:r>
      <w:r w:rsidR="006734C6">
        <w:rPr>
          <w:noProof/>
        </w:rPr>
        <w:t>annual volume and pollutant loads</w:t>
      </w:r>
      <w:r>
        <w:rPr>
          <w:noProof/>
        </w:rPr>
        <w:t xml:space="preserve"> </w:t>
      </w:r>
    </w:p>
    <w:p w:rsidR="00C978C6" w:rsidRDefault="00B2291A" w:rsidP="00C216D7">
      <w:pPr>
        <w:keepNext/>
        <w:spacing w:before="100" w:beforeAutospacing="1"/>
      </w:pPr>
      <w:r>
        <w:t xml:space="preserve">The second objective of the MIDS calculator is to </w:t>
      </w:r>
      <w:r w:rsidR="00C216D7">
        <w:t>calculat</w:t>
      </w:r>
      <w:r w:rsidR="00B000A4">
        <w:t>e</w:t>
      </w:r>
      <w:r w:rsidR="00C216D7">
        <w:t xml:space="preserve"> annual </w:t>
      </w:r>
      <w:r w:rsidR="00B000A4">
        <w:t xml:space="preserve">stormwater </w:t>
      </w:r>
      <w:r w:rsidR="00C216D7">
        <w:t>runoff volume</w:t>
      </w:r>
      <w:r>
        <w:t xml:space="preserve"> an</w:t>
      </w:r>
      <w:r w:rsidR="00C74CDF">
        <w:t>d pollutant loads for the site using t</w:t>
      </w:r>
      <w:r w:rsidR="00BB5B0D">
        <w:t>he watershed information and pollutant even</w:t>
      </w:r>
      <w:r w:rsidR="00F41F77">
        <w:t>t</w:t>
      </w:r>
      <w:r w:rsidR="00BB5B0D">
        <w:t xml:space="preserve"> mean concentrations (EMC</w:t>
      </w:r>
      <w:r w:rsidR="00A743B9">
        <w:t>s</w:t>
      </w:r>
      <w:r w:rsidR="00BB5B0D">
        <w:t xml:space="preserve">) </w:t>
      </w:r>
      <w:r w:rsidR="00373D61">
        <w:t>entere</w:t>
      </w:r>
      <w:r w:rsidR="00C74CDF">
        <w:t>d in the “Site Information” tab.</w:t>
      </w:r>
    </w:p>
    <w:p w:rsidR="00BB5B0D" w:rsidRDefault="00BB5B0D" w:rsidP="00BB5B0D">
      <w:r>
        <w:t xml:space="preserve">The </w:t>
      </w:r>
      <w:r w:rsidR="00667DA6">
        <w:t xml:space="preserve">annual </w:t>
      </w:r>
      <w:r w:rsidR="00B000A4">
        <w:t xml:space="preserve">stormwater </w:t>
      </w:r>
      <w:r w:rsidR="00667DA6">
        <w:t>runoff volume</w:t>
      </w:r>
      <w:r w:rsidR="00B000A4">
        <w:t>,</w:t>
      </w:r>
      <w:r w:rsidR="00667DA6">
        <w:t xml:space="preserve"> </w:t>
      </w:r>
      <w:r>
        <w:t xml:space="preserve">pollutant loads </w:t>
      </w:r>
      <w:r w:rsidR="00C978C6">
        <w:t xml:space="preserve">for TSS, dissolved phosphorus, and particulate phosphorus </w:t>
      </w:r>
      <w:r w:rsidR="00373D61">
        <w:t>are calculated</w:t>
      </w:r>
      <w:r w:rsidR="00491C85">
        <w:t xml:space="preserve"> following the runoff reduction method developed by the Center for Watershed Protection &amp; Chesapeake Stormwater Network (CWP &amp; CSN, 2008)</w:t>
      </w:r>
      <w:r w:rsidR="00B2291A">
        <w:t>,</w:t>
      </w:r>
      <w:r>
        <w:t xml:space="preserve"> </w:t>
      </w:r>
      <w:r w:rsidR="00491C85">
        <w:t xml:space="preserve">which is based off </w:t>
      </w:r>
      <w:r>
        <w:t xml:space="preserve">the </w:t>
      </w:r>
      <w:r w:rsidR="00B2291A">
        <w:t>Simple M</w:t>
      </w:r>
      <w:r>
        <w:t>ethod</w:t>
      </w:r>
      <w:r w:rsidR="00C978C6">
        <w:t xml:space="preserve"> </w:t>
      </w:r>
      <w:r w:rsidR="00A75E4C">
        <w:t>(Schueller, 1987)</w:t>
      </w:r>
      <w:r w:rsidR="00C978C6">
        <w:t xml:space="preserve">.  The runoff reduction method calculates the </w:t>
      </w:r>
      <w:r w:rsidR="00667DA6">
        <w:t xml:space="preserve">annual runoff stormwater volume (R) in cubic feet based on the </w:t>
      </w:r>
      <w:r w:rsidR="00B178FB">
        <w:t>following:</w:t>
      </w:r>
      <w:r w:rsidR="00C978C6">
        <w:t xml:space="preserve"> </w:t>
      </w:r>
    </w:p>
    <w:p w:rsidR="000C7D36" w:rsidRPr="00A743B9" w:rsidRDefault="00667DA6" w:rsidP="00BB5B0D">
      <w:pPr>
        <w:rPr>
          <w:rFonts w:eastAsiaTheme="minorEastAsia"/>
        </w:rPr>
      </w:pPr>
      <m:oMathPara>
        <m:oMath>
          <m:r>
            <w:rPr>
              <w:rFonts w:ascii="Cambria Math" w:hAnsi="Cambria Math"/>
            </w:rPr>
            <m:t>R=</m:t>
          </m:r>
          <m:sSub>
            <m:sSubPr>
              <m:ctrlPr>
                <w:rPr>
                  <w:rFonts w:ascii="Cambria Math" w:hAnsi="Cambria Math"/>
                  <w:i/>
                </w:rPr>
              </m:ctrlPr>
            </m:sSubPr>
            <m:e>
              <m:r>
                <w:rPr>
                  <w:rFonts w:ascii="Cambria Math" w:hAnsi="Cambria Math"/>
                </w:rPr>
                <m:t>D</m:t>
              </m:r>
            </m:e>
            <m:sub>
              <m:r>
                <w:rPr>
                  <w:rFonts w:ascii="Cambria Math" w:hAnsi="Cambria Math"/>
                </w:rPr>
                <m:t>R</m:t>
              </m:r>
            </m:sub>
          </m:sSub>
          <m:r>
            <w:rPr>
              <w:rFonts w:ascii="Cambria Math" w:hAnsi="Cambria Math"/>
            </w:rPr>
            <m:t>*A*3630</m:t>
          </m:r>
        </m:oMath>
      </m:oMathPara>
    </w:p>
    <w:p w:rsidR="00A743B9" w:rsidRDefault="00A743B9" w:rsidP="00331A7F">
      <w:pPr>
        <w:spacing w:after="0"/>
        <w:rPr>
          <w:rFonts w:eastAsiaTheme="minorEastAsia"/>
        </w:rPr>
      </w:pPr>
      <w:r>
        <w:rPr>
          <w:rFonts w:eastAsiaTheme="minorEastAsia"/>
        </w:rPr>
        <w:t>Where:</w:t>
      </w:r>
    </w:p>
    <w:p w:rsidR="00A743B9" w:rsidRDefault="00A743B9" w:rsidP="00331A7F">
      <w:pPr>
        <w:spacing w:after="0"/>
        <w:ind w:left="540"/>
      </w:pPr>
      <w:r>
        <w:t xml:space="preserve"> D</w:t>
      </w:r>
      <w:r w:rsidRPr="00667DA6">
        <w:rPr>
          <w:vertAlign w:val="subscript"/>
        </w:rPr>
        <w:t>R</w:t>
      </w:r>
      <w:r>
        <w:rPr>
          <w:vertAlign w:val="subscript"/>
        </w:rPr>
        <w:t xml:space="preserve"> </w:t>
      </w:r>
      <w:r>
        <w:t>is the annual runoff depth in inches;</w:t>
      </w:r>
    </w:p>
    <w:p w:rsidR="00A743B9" w:rsidRDefault="00A743B9" w:rsidP="00331A7F">
      <w:pPr>
        <w:spacing w:after="0"/>
        <w:ind w:left="540"/>
      </w:pPr>
      <w:r>
        <w:lastRenderedPageBreak/>
        <w:t xml:space="preserve">A is the total watershed area in acres; and </w:t>
      </w:r>
    </w:p>
    <w:p w:rsidR="00B178FB" w:rsidRPr="00667DA6" w:rsidRDefault="00A743B9" w:rsidP="00331A7F">
      <w:pPr>
        <w:spacing w:after="0"/>
        <w:ind w:left="540"/>
        <w:rPr>
          <w:rFonts w:eastAsiaTheme="minorEastAsia"/>
        </w:rPr>
      </w:pPr>
      <w:r>
        <w:t>3630 is a conversion factor of to convert the final result to cubic feet.</w:t>
      </w:r>
    </w:p>
    <w:p w:rsidR="00B178FB" w:rsidRDefault="00B178FB" w:rsidP="00BB5B0D">
      <w:pPr>
        <w:rPr>
          <w:rFonts w:eastAsiaTheme="minorEastAsia"/>
        </w:rPr>
      </w:pPr>
    </w:p>
    <w:p w:rsidR="00A75E4C" w:rsidRDefault="00C978C6" w:rsidP="00BB5B0D">
      <w:pPr>
        <w:rPr>
          <w:rFonts w:eastAsiaTheme="minorEastAsia"/>
        </w:rPr>
      </w:pPr>
      <w:r>
        <w:rPr>
          <w:rFonts w:eastAsiaTheme="minorEastAsia"/>
        </w:rPr>
        <w:t xml:space="preserve">The total watershed area (A) is an input parameter supplied by the user.  </w:t>
      </w:r>
      <w:r w:rsidR="008C581D">
        <w:rPr>
          <w:rFonts w:eastAsiaTheme="minorEastAsia"/>
        </w:rPr>
        <w:t xml:space="preserve">The </w:t>
      </w:r>
      <w:r w:rsidR="00A75E4C">
        <w:rPr>
          <w:rFonts w:eastAsiaTheme="minorEastAsia"/>
        </w:rPr>
        <w:t xml:space="preserve">annual runoff </w:t>
      </w:r>
      <w:r>
        <w:rPr>
          <w:rFonts w:eastAsiaTheme="minorEastAsia"/>
        </w:rPr>
        <w:t>depth (</w:t>
      </w:r>
      <w:r w:rsidR="00667DA6">
        <w:rPr>
          <w:rFonts w:eastAsiaTheme="minorEastAsia"/>
        </w:rPr>
        <w:t>D</w:t>
      </w:r>
      <w:r w:rsidR="00667DA6" w:rsidRPr="00667DA6">
        <w:rPr>
          <w:rFonts w:eastAsiaTheme="minorEastAsia"/>
          <w:vertAlign w:val="subscript"/>
        </w:rPr>
        <w:t>R</w:t>
      </w:r>
      <w:r w:rsidR="00C74CDF">
        <w:rPr>
          <w:rFonts w:eastAsiaTheme="minorEastAsia"/>
        </w:rPr>
        <w:t>),</w:t>
      </w:r>
      <w:r>
        <w:rPr>
          <w:rFonts w:eastAsiaTheme="minorEastAsia"/>
        </w:rPr>
        <w:t xml:space="preserve"> </w:t>
      </w:r>
      <w:r w:rsidR="00A75E4C">
        <w:rPr>
          <w:rFonts w:eastAsiaTheme="minorEastAsia"/>
        </w:rPr>
        <w:t xml:space="preserve">is calculated </w:t>
      </w:r>
      <w:r w:rsidR="00B178FB">
        <w:rPr>
          <w:rFonts w:eastAsiaTheme="minorEastAsia"/>
        </w:rPr>
        <w:t>using the following:</w:t>
      </w:r>
      <w:r>
        <w:rPr>
          <w:rFonts w:eastAsiaTheme="minorEastAsia"/>
        </w:rPr>
        <w:t xml:space="preserve"> </w:t>
      </w:r>
    </w:p>
    <w:p w:rsidR="00A75E4C" w:rsidRPr="00A75E4C" w:rsidRDefault="00BF0AE0" w:rsidP="00BB5B0D">
      <w:pPr>
        <w:rPr>
          <w:rFonts w:eastAsiaTheme="minorEastAsia"/>
        </w:rPr>
      </w:pPr>
      <m:oMathPara>
        <m:oMath>
          <m:sSub>
            <m:sSubPr>
              <m:ctrlPr>
                <w:rPr>
                  <w:rFonts w:ascii="Cambria Math" w:hAnsi="Cambria Math"/>
                  <w:i/>
                </w:rPr>
              </m:ctrlPr>
            </m:sSubPr>
            <m:e>
              <m:r>
                <w:rPr>
                  <w:rFonts w:ascii="Cambria Math" w:hAnsi="Cambria Math"/>
                </w:rPr>
                <m:t>D</m:t>
              </m:r>
            </m:e>
            <m:sub>
              <m:r>
                <w:rPr>
                  <w:rFonts w:ascii="Cambria Math" w:hAnsi="Cambria Math"/>
                </w:rPr>
                <m:t>R</m:t>
              </m:r>
            </m:sub>
          </m:sSub>
          <m:r>
            <w:rPr>
              <w:rFonts w:ascii="Cambria Math" w:hAnsi="Cambria Math"/>
            </w:rPr>
            <m:t xml:space="preserve">=P* </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V</m:t>
              </m:r>
            </m:sub>
          </m:sSub>
        </m:oMath>
      </m:oMathPara>
    </w:p>
    <w:p w:rsidR="00B178FB" w:rsidRDefault="00B178FB" w:rsidP="00331A7F">
      <w:pPr>
        <w:spacing w:after="0"/>
        <w:rPr>
          <w:rFonts w:eastAsiaTheme="minorEastAsia"/>
        </w:rPr>
      </w:pPr>
      <w:r>
        <w:rPr>
          <w:rFonts w:eastAsiaTheme="minorEastAsia"/>
        </w:rPr>
        <w:t>Where:</w:t>
      </w:r>
    </w:p>
    <w:p w:rsidR="00B178FB" w:rsidRDefault="00B178FB" w:rsidP="00331A7F">
      <w:pPr>
        <w:spacing w:after="0"/>
        <w:ind w:left="540"/>
        <w:rPr>
          <w:rFonts w:eastAsiaTheme="minorEastAsia"/>
        </w:rPr>
      </w:pPr>
      <w:r>
        <w:rPr>
          <w:rFonts w:eastAsiaTheme="minorEastAsia"/>
        </w:rPr>
        <w:t>P is the total annual rainfall depth in inches;</w:t>
      </w:r>
    </w:p>
    <w:p w:rsidR="00B178FB" w:rsidRDefault="00B178FB" w:rsidP="00331A7F">
      <w:pPr>
        <w:spacing w:after="0"/>
        <w:ind w:left="540"/>
        <w:rPr>
          <w:rFonts w:eastAsiaTheme="minorEastAsia"/>
        </w:rPr>
      </w:pPr>
      <w:r>
        <w:rPr>
          <w:rFonts w:eastAsiaTheme="minorEastAsia"/>
        </w:rPr>
        <w:t>P</w:t>
      </w:r>
      <w:r w:rsidRPr="00C978C6">
        <w:rPr>
          <w:rFonts w:eastAsiaTheme="minorEastAsia"/>
          <w:vertAlign w:val="subscript"/>
        </w:rPr>
        <w:t>j</w:t>
      </w:r>
      <w:r>
        <w:rPr>
          <w:rFonts w:eastAsiaTheme="minorEastAsia"/>
        </w:rPr>
        <w:t xml:space="preserve"> is the fraction of annual rainfall events that product runoff; and </w:t>
      </w:r>
    </w:p>
    <w:p w:rsidR="00B178FB" w:rsidRDefault="00B178FB" w:rsidP="00331A7F">
      <w:pPr>
        <w:spacing w:after="0"/>
        <w:ind w:left="540"/>
        <w:rPr>
          <w:rFonts w:eastAsiaTheme="minorEastAsia"/>
        </w:rPr>
      </w:pPr>
      <w:r>
        <w:rPr>
          <w:rFonts w:eastAsiaTheme="minorEastAsia"/>
        </w:rPr>
        <w:t>R</w:t>
      </w:r>
      <w:r w:rsidRPr="008C581D">
        <w:rPr>
          <w:rFonts w:eastAsiaTheme="minorEastAsia"/>
          <w:vertAlign w:val="subscript"/>
        </w:rPr>
        <w:t>V</w:t>
      </w:r>
      <w:r>
        <w:rPr>
          <w:rFonts w:eastAsiaTheme="minorEastAsia"/>
        </w:rPr>
        <w:t xml:space="preserve"> is the runoff coefficient which is dimensionless.</w:t>
      </w:r>
    </w:p>
    <w:p w:rsidR="00B178FB" w:rsidRDefault="00B178FB" w:rsidP="00BB5B0D">
      <w:pPr>
        <w:rPr>
          <w:rFonts w:eastAsiaTheme="minorEastAsia"/>
        </w:rPr>
      </w:pPr>
    </w:p>
    <w:p w:rsidR="00B34E07" w:rsidRDefault="00767000" w:rsidP="00BB5B0D">
      <w:pPr>
        <w:rPr>
          <w:rFonts w:eastAsiaTheme="minorEastAsia"/>
        </w:rPr>
      </w:pPr>
      <w:r>
        <w:rPr>
          <w:rFonts w:eastAsiaTheme="minorEastAsia"/>
        </w:rPr>
        <w:t>The total annual rainfall depth</w:t>
      </w:r>
      <w:r w:rsidR="00B178FB">
        <w:rPr>
          <w:rFonts w:eastAsiaTheme="minorEastAsia"/>
        </w:rPr>
        <w:t xml:space="preserve"> (P)</w:t>
      </w:r>
      <w:r>
        <w:rPr>
          <w:rFonts w:eastAsiaTheme="minorEastAsia"/>
        </w:rPr>
        <w:t xml:space="preserve"> is </w:t>
      </w:r>
      <w:r w:rsidR="00C74CDF">
        <w:rPr>
          <w:rFonts w:eastAsiaTheme="minorEastAsia"/>
        </w:rPr>
        <w:t>determined</w:t>
      </w:r>
      <w:r>
        <w:rPr>
          <w:rFonts w:eastAsiaTheme="minorEastAsia"/>
        </w:rPr>
        <w:t xml:space="preserve"> based on </w:t>
      </w:r>
      <w:r w:rsidR="00385558">
        <w:rPr>
          <w:rFonts w:eastAsiaTheme="minorEastAsia"/>
        </w:rPr>
        <w:t xml:space="preserve">zip code for the </w:t>
      </w:r>
      <w:r w:rsidR="00CF1CB3">
        <w:rPr>
          <w:rFonts w:eastAsiaTheme="minorEastAsia"/>
        </w:rPr>
        <w:t xml:space="preserve">state of Minnesota.  </w:t>
      </w:r>
      <w:r w:rsidR="008C581D">
        <w:rPr>
          <w:rFonts w:eastAsiaTheme="minorEastAsia"/>
        </w:rPr>
        <w:t>A</w:t>
      </w:r>
      <w:r w:rsidR="003201B7">
        <w:rPr>
          <w:rFonts w:eastAsiaTheme="minorEastAsia"/>
        </w:rPr>
        <w:t xml:space="preserve">verage annual precipitation data was calculated using the normal </w:t>
      </w:r>
      <w:hyperlink r:id="rId12" w:history="1">
        <w:r w:rsidR="003201B7" w:rsidRPr="003201B7">
          <w:rPr>
            <w:rStyle w:val="Hyperlink"/>
            <w:rFonts w:eastAsiaTheme="minorEastAsia"/>
          </w:rPr>
          <w:t xml:space="preserve">annual precipitation </w:t>
        </w:r>
        <w:r w:rsidR="00385558">
          <w:rPr>
            <w:rStyle w:val="Hyperlink"/>
            <w:rFonts w:eastAsiaTheme="minorEastAsia"/>
          </w:rPr>
          <w:t>data</w:t>
        </w:r>
        <w:r w:rsidR="003201B7" w:rsidRPr="003201B7">
          <w:rPr>
            <w:rStyle w:val="Hyperlink"/>
            <w:rFonts w:eastAsiaTheme="minorEastAsia"/>
          </w:rPr>
          <w:t xml:space="preserve"> from the Minnesota Climatology Working Group</w:t>
        </w:r>
      </w:hyperlink>
      <w:r w:rsidR="00385558">
        <w:rPr>
          <w:rFonts w:eastAsiaTheme="minorEastAsia"/>
        </w:rPr>
        <w:t xml:space="preserve"> </w:t>
      </w:r>
      <w:r w:rsidR="00371DC0">
        <w:rPr>
          <w:rFonts w:eastAsiaTheme="minorEastAsia"/>
        </w:rPr>
        <w:t xml:space="preserve">(years 1971 – 2000) </w:t>
      </w:r>
      <w:r w:rsidR="00385558">
        <w:rPr>
          <w:rFonts w:eastAsiaTheme="minorEastAsia"/>
        </w:rPr>
        <w:t xml:space="preserve">and </w:t>
      </w:r>
      <w:r w:rsidR="00B33A7F">
        <w:rPr>
          <w:rFonts w:eastAsiaTheme="minorEastAsia"/>
        </w:rPr>
        <w:t xml:space="preserve">spatially </w:t>
      </w:r>
      <w:r w:rsidR="00385558">
        <w:rPr>
          <w:rFonts w:eastAsiaTheme="minorEastAsia"/>
        </w:rPr>
        <w:t xml:space="preserve">averaging </w:t>
      </w:r>
      <w:r w:rsidR="00B33A7F">
        <w:rPr>
          <w:rFonts w:eastAsiaTheme="minorEastAsia"/>
        </w:rPr>
        <w:t xml:space="preserve">for </w:t>
      </w:r>
      <w:r w:rsidR="00385558">
        <w:rPr>
          <w:rFonts w:eastAsiaTheme="minorEastAsia"/>
        </w:rPr>
        <w:t xml:space="preserve">all zip codes in the state of Minnesota.  The fraction of annual rainfall events that produce runoff </w:t>
      </w:r>
      <w:r w:rsidR="00B178FB">
        <w:rPr>
          <w:rFonts w:eastAsiaTheme="minorEastAsia"/>
        </w:rPr>
        <w:t>(P</w:t>
      </w:r>
      <w:r w:rsidR="00B178FB" w:rsidRPr="00C978C6">
        <w:rPr>
          <w:rFonts w:eastAsiaTheme="minorEastAsia"/>
          <w:vertAlign w:val="subscript"/>
        </w:rPr>
        <w:t>j</w:t>
      </w:r>
      <w:r w:rsidR="00B178FB">
        <w:rPr>
          <w:rFonts w:eastAsiaTheme="minorEastAsia"/>
        </w:rPr>
        <w:t xml:space="preserve">) </w:t>
      </w:r>
      <w:r w:rsidR="00385558">
        <w:rPr>
          <w:rFonts w:eastAsiaTheme="minorEastAsia"/>
        </w:rPr>
        <w:t>is set at a constant value of 0.9</w:t>
      </w:r>
      <w:r w:rsidR="00C74CDF">
        <w:rPr>
          <w:rFonts w:eastAsiaTheme="minorEastAsia"/>
        </w:rPr>
        <w:t xml:space="preserve"> as recommended by the runoff reduction method </w:t>
      </w:r>
      <w:r w:rsidR="00C74CDF">
        <w:t>(CWP &amp; CSN, 2008)</w:t>
      </w:r>
      <w:r w:rsidR="00385558">
        <w:rPr>
          <w:rFonts w:eastAsiaTheme="minorEastAsia"/>
        </w:rPr>
        <w:t xml:space="preserve">. </w:t>
      </w:r>
      <w:r w:rsidR="00491C85">
        <w:rPr>
          <w:rFonts w:eastAsiaTheme="minorEastAsia"/>
        </w:rPr>
        <w:t>The runoff coefficient (R</w:t>
      </w:r>
      <w:r w:rsidR="00491C85" w:rsidRPr="00491C85">
        <w:rPr>
          <w:rFonts w:eastAsiaTheme="minorEastAsia"/>
          <w:vertAlign w:val="subscript"/>
        </w:rPr>
        <w:t>V</w:t>
      </w:r>
      <w:r w:rsidR="00491C85">
        <w:rPr>
          <w:rFonts w:eastAsiaTheme="minorEastAsia"/>
        </w:rPr>
        <w:t xml:space="preserve">) is calculated based on the land use data.  The user of the MIDS calculator enters land use information using three land use types and four soils types.  The three land use types in the calculator are </w:t>
      </w:r>
      <w:r w:rsidR="00B34E07">
        <w:rPr>
          <w:rFonts w:eastAsiaTheme="minorEastAsia"/>
        </w:rPr>
        <w:t xml:space="preserve">as follows </w:t>
      </w:r>
      <w:r w:rsidR="00B34E07">
        <w:t>(CWP &amp; CSN, 2008).</w:t>
      </w:r>
    </w:p>
    <w:p w:rsidR="00B34E07" w:rsidRPr="00B34E07" w:rsidRDefault="00B34E07" w:rsidP="00B34E07">
      <w:pPr>
        <w:pStyle w:val="ListParagraph"/>
        <w:numPr>
          <w:ilvl w:val="0"/>
          <w:numId w:val="4"/>
        </w:numPr>
        <w:rPr>
          <w:rFonts w:eastAsiaTheme="minorEastAsia"/>
          <w:b/>
        </w:rPr>
      </w:pPr>
      <w:r>
        <w:rPr>
          <w:rFonts w:eastAsiaTheme="minorEastAsia"/>
          <w:b/>
        </w:rPr>
        <w:t>I</w:t>
      </w:r>
      <w:r w:rsidRPr="00B34E07">
        <w:rPr>
          <w:rFonts w:eastAsiaTheme="minorEastAsia"/>
          <w:b/>
        </w:rPr>
        <w:t>mpervious cover</w:t>
      </w:r>
      <w:r>
        <w:rPr>
          <w:rFonts w:eastAsiaTheme="minorEastAsia"/>
          <w:b/>
        </w:rPr>
        <w:t xml:space="preserve">: </w:t>
      </w:r>
      <w:r w:rsidR="009F4625" w:rsidRPr="007F4E66">
        <w:rPr>
          <w:rFonts w:ascii="Calibri" w:eastAsia="Times New Roman" w:hAnsi="Calibri" w:cs="Times New Roman"/>
        </w:rPr>
        <w:t>A surface that prevents the infiltration of rainfall and results in an increased volume of surface runoff</w:t>
      </w:r>
      <w:r w:rsidR="009F4625" w:rsidRPr="008E6C54">
        <w:rPr>
          <w:rFonts w:ascii="Calibri" w:eastAsia="Times New Roman" w:hAnsi="Calibri" w:cs="Times New Roman"/>
        </w:rPr>
        <w:t>.</w:t>
      </w:r>
      <w:r w:rsidR="009F4625">
        <w:rPr>
          <w:rFonts w:ascii="Calibri" w:eastAsia="Times New Roman" w:hAnsi="Calibri" w:cs="Times New Roman"/>
        </w:rPr>
        <w:t xml:space="preserve">  This </w:t>
      </w:r>
      <w:r w:rsidR="009F4625">
        <w:rPr>
          <w:rFonts w:eastAsiaTheme="minorEastAsia"/>
        </w:rPr>
        <w:t>i</w:t>
      </w:r>
      <w:r>
        <w:rPr>
          <w:rFonts w:eastAsiaTheme="minorEastAsia"/>
        </w:rPr>
        <w:t>ncludes roadways, driveways, rooftops, parking lots, sidewalks, and other areas that replace an otherwise pervious surface</w:t>
      </w:r>
      <w:r w:rsidR="009F4625">
        <w:rPr>
          <w:rFonts w:eastAsiaTheme="minorEastAsia"/>
        </w:rPr>
        <w:t xml:space="preserve">.  </w:t>
      </w:r>
      <w:r w:rsidR="009F4625" w:rsidRPr="006551AC">
        <w:rPr>
          <w:rFonts w:eastAsiaTheme="minorEastAsia"/>
        </w:rPr>
        <w:t xml:space="preserve">A green roof and permeable pavement should be entered as </w:t>
      </w:r>
      <w:r w:rsidR="006551AC" w:rsidRPr="006551AC">
        <w:rPr>
          <w:rFonts w:eastAsiaTheme="minorEastAsia"/>
        </w:rPr>
        <w:t>impervious surface</w:t>
      </w:r>
      <w:r w:rsidRPr="006551AC">
        <w:rPr>
          <w:rFonts w:eastAsiaTheme="minorEastAsia"/>
        </w:rPr>
        <w:t>.</w:t>
      </w:r>
    </w:p>
    <w:p w:rsidR="00B34E07" w:rsidRPr="00B34E07" w:rsidRDefault="00B34E07" w:rsidP="00B34E07">
      <w:pPr>
        <w:pStyle w:val="ListParagraph"/>
        <w:numPr>
          <w:ilvl w:val="0"/>
          <w:numId w:val="4"/>
        </w:numPr>
        <w:rPr>
          <w:rFonts w:eastAsiaTheme="minorEastAsia"/>
        </w:rPr>
      </w:pPr>
      <w:r>
        <w:rPr>
          <w:rFonts w:eastAsiaTheme="minorEastAsia"/>
          <w:b/>
        </w:rPr>
        <w:t>M</w:t>
      </w:r>
      <w:r w:rsidRPr="00B34E07">
        <w:rPr>
          <w:rFonts w:eastAsiaTheme="minorEastAsia"/>
          <w:b/>
        </w:rPr>
        <w:t>anaged turf</w:t>
      </w:r>
      <w:r>
        <w:rPr>
          <w:rFonts w:eastAsiaTheme="minorEastAsia"/>
        </w:rPr>
        <w:t xml:space="preserve">: </w:t>
      </w:r>
      <w:r w:rsidR="009F4625">
        <w:rPr>
          <w:rFonts w:eastAsiaTheme="minorEastAsia"/>
        </w:rPr>
        <w:t>The d</w:t>
      </w:r>
      <w:r>
        <w:rPr>
          <w:rFonts w:eastAsiaTheme="minorEastAsia"/>
        </w:rPr>
        <w:t>isturbed</w:t>
      </w:r>
      <w:r w:rsidR="009F4625">
        <w:rPr>
          <w:rFonts w:eastAsiaTheme="minorEastAsia"/>
        </w:rPr>
        <w:t xml:space="preserve"> area</w:t>
      </w:r>
      <w:r>
        <w:rPr>
          <w:rFonts w:eastAsiaTheme="minorEastAsia"/>
        </w:rPr>
        <w:t>, graded for yards or other turf to be mowed/managed.</w:t>
      </w:r>
      <w:r w:rsidR="00B16832">
        <w:rPr>
          <w:rFonts w:eastAsiaTheme="minorEastAsia"/>
        </w:rPr>
        <w:t xml:space="preserve"> This includes any turf areas that are intended to be mowed and maintained as turf within residential, commercial, industrial, institutional settings</w:t>
      </w:r>
      <w:r w:rsidR="009F4625">
        <w:rPr>
          <w:rFonts w:eastAsiaTheme="minorEastAsia"/>
        </w:rPr>
        <w:t>,</w:t>
      </w:r>
      <w:r w:rsidR="00B16832">
        <w:rPr>
          <w:rFonts w:eastAsiaTheme="minorEastAsia"/>
        </w:rPr>
        <w:t xml:space="preserve"> and road right-of ways.</w:t>
      </w:r>
      <w:r w:rsidR="00331A7F">
        <w:rPr>
          <w:rFonts w:eastAsiaTheme="minorEastAsia"/>
        </w:rPr>
        <w:t xml:space="preserve"> </w:t>
      </w:r>
      <w:r w:rsidR="00B522CF" w:rsidRPr="00FD15B1">
        <w:t>BMP surface area</w:t>
      </w:r>
      <w:r w:rsidR="00B522CF">
        <w:rPr>
          <w:rFonts w:eastAsiaTheme="minorEastAsia"/>
        </w:rPr>
        <w:t>s</w:t>
      </w:r>
      <w:r w:rsidR="00B522CF" w:rsidRPr="00FD15B1">
        <w:t xml:space="preserve"> should also be included in this classification except for green </w:t>
      </w:r>
      <w:proofErr w:type="gramStart"/>
      <w:r w:rsidR="00B522CF" w:rsidRPr="00FD15B1">
        <w:t>roofs,</w:t>
      </w:r>
      <w:proofErr w:type="gramEnd"/>
      <w:r w:rsidR="00B522CF" w:rsidRPr="00FD15B1">
        <w:t xml:space="preserve"> permeable pavement constructed wetlands, and constructed </w:t>
      </w:r>
      <w:proofErr w:type="spellStart"/>
      <w:r w:rsidR="00B522CF" w:rsidRPr="00FD15B1">
        <w:t>stormwater</w:t>
      </w:r>
      <w:proofErr w:type="spellEnd"/>
      <w:r w:rsidR="00B522CF" w:rsidRPr="00FD15B1">
        <w:t xml:space="preserve"> ponds.</w:t>
      </w:r>
    </w:p>
    <w:p w:rsidR="00491C85" w:rsidRPr="00B522CF" w:rsidRDefault="00B34E07" w:rsidP="00B34E07">
      <w:pPr>
        <w:pStyle w:val="ListParagraph"/>
        <w:numPr>
          <w:ilvl w:val="0"/>
          <w:numId w:val="4"/>
        </w:numPr>
        <w:rPr>
          <w:b/>
        </w:rPr>
      </w:pPr>
      <w:r>
        <w:rPr>
          <w:rFonts w:eastAsiaTheme="minorEastAsia"/>
          <w:b/>
        </w:rPr>
        <w:t>F</w:t>
      </w:r>
      <w:r w:rsidR="00491C85" w:rsidRPr="00B34E07">
        <w:rPr>
          <w:rFonts w:eastAsiaTheme="minorEastAsia"/>
          <w:b/>
        </w:rPr>
        <w:t>orest/o</w:t>
      </w:r>
      <w:r w:rsidRPr="00B34E07">
        <w:rPr>
          <w:rFonts w:eastAsiaTheme="minorEastAsia"/>
          <w:b/>
        </w:rPr>
        <w:t xml:space="preserve">pen </w:t>
      </w:r>
      <w:r>
        <w:rPr>
          <w:rFonts w:eastAsiaTheme="minorEastAsia"/>
          <w:b/>
        </w:rPr>
        <w:t>space:</w:t>
      </w:r>
      <w:r w:rsidRPr="00B34E07">
        <w:rPr>
          <w:rFonts w:eastAsiaTheme="minorEastAsia"/>
          <w:b/>
        </w:rPr>
        <w:t xml:space="preserve">  </w:t>
      </w:r>
      <w:r w:rsidR="009F4625" w:rsidRPr="006551AC">
        <w:rPr>
          <w:rFonts w:eastAsiaTheme="minorEastAsia"/>
        </w:rPr>
        <w:t>The</w:t>
      </w:r>
      <w:r w:rsidR="009F4625">
        <w:rPr>
          <w:rFonts w:eastAsiaTheme="minorEastAsia"/>
          <w:b/>
        </w:rPr>
        <w:t xml:space="preserve"> </w:t>
      </w:r>
      <w:r w:rsidR="009F4625">
        <w:rPr>
          <w:rFonts w:eastAsiaTheme="minorEastAsia"/>
        </w:rPr>
        <w:t>u</w:t>
      </w:r>
      <w:r w:rsidRPr="00B34E07">
        <w:rPr>
          <w:rFonts w:eastAsiaTheme="minorEastAsia"/>
        </w:rPr>
        <w:t>ndisturbed</w:t>
      </w:r>
      <w:r w:rsidR="009F4625">
        <w:rPr>
          <w:rFonts w:eastAsiaTheme="minorEastAsia"/>
        </w:rPr>
        <w:t xml:space="preserve"> area</w:t>
      </w:r>
      <w:r w:rsidRPr="00B34E07">
        <w:rPr>
          <w:rFonts w:eastAsiaTheme="minorEastAsia"/>
        </w:rPr>
        <w:t>, protected/open space or reforested land.</w:t>
      </w:r>
      <w:r>
        <w:rPr>
          <w:rFonts w:eastAsiaTheme="minorEastAsia"/>
        </w:rPr>
        <w:t xml:space="preserve">  This includes </w:t>
      </w:r>
      <w:r w:rsidR="00B16832">
        <w:rPr>
          <w:rFonts w:eastAsiaTheme="minorEastAsia"/>
        </w:rPr>
        <w:t>any forested or</w:t>
      </w:r>
      <w:r>
        <w:rPr>
          <w:rFonts w:eastAsiaTheme="minorEastAsia"/>
        </w:rPr>
        <w:t xml:space="preserve"> open space area protected during construction and that will remain </w:t>
      </w:r>
      <w:r w:rsidR="00B16832">
        <w:rPr>
          <w:rFonts w:eastAsiaTheme="minorEastAsia"/>
        </w:rPr>
        <w:t>undisturbed or will not be routinely mowed, but instead left in a natural vegetative state.</w:t>
      </w:r>
    </w:p>
    <w:p w:rsidR="00B522CF" w:rsidRPr="00B522CF" w:rsidRDefault="00B522CF" w:rsidP="00B522CF">
      <w:pPr>
        <w:pStyle w:val="ListParagraph"/>
        <w:numPr>
          <w:ilvl w:val="0"/>
          <w:numId w:val="4"/>
        </w:numPr>
      </w:pPr>
      <w:r w:rsidRPr="00B522CF">
        <w:rPr>
          <w:i/>
        </w:rPr>
        <w:t>Note:</w:t>
      </w:r>
      <w:r>
        <w:t xml:space="preserve"> </w:t>
      </w:r>
      <w:r>
        <w:t xml:space="preserve">Water </w:t>
      </w:r>
      <w:r>
        <w:t xml:space="preserve">surface areas for wetlands and </w:t>
      </w:r>
      <w:proofErr w:type="spellStart"/>
      <w:r>
        <w:t>stormwater</w:t>
      </w:r>
      <w:proofErr w:type="spellEnd"/>
      <w:r>
        <w:t xml:space="preserve"> ponds should not be included as a </w:t>
      </w:r>
      <w:proofErr w:type="spellStart"/>
      <w:r>
        <w:t>landcover</w:t>
      </w:r>
      <w:proofErr w:type="spellEnd"/>
      <w:r>
        <w:t xml:space="preserve"> in the calculator.  The calculator uses the conservative assumption that precipitation and evapotranspiration at the surface of these systems </w:t>
      </w:r>
      <w:r>
        <w:t xml:space="preserve">are neutralizing </w:t>
      </w:r>
      <w:r>
        <w:t xml:space="preserve">and that pollutant load additions from precipitation </w:t>
      </w:r>
      <w:r>
        <w:t xml:space="preserve">alone </w:t>
      </w:r>
      <w:r>
        <w:t xml:space="preserve">are minimal. </w:t>
      </w:r>
    </w:p>
    <w:p w:rsidR="000C7D36" w:rsidRPr="00BB5B0D" w:rsidRDefault="00B16832" w:rsidP="00BB5B0D">
      <w:r>
        <w:lastRenderedPageBreak/>
        <w:t xml:space="preserve">Each land use with an associated soil type is assigned a corresponding runoff coefficient (CWP &amp; CSN, 2008).  The corresponding runoff coefficients are displayed in the following table.  </w:t>
      </w:r>
      <w:r w:rsidR="00C532B1">
        <w:t>An average runoff coef</w:t>
      </w:r>
      <w:r w:rsidR="00B178FB">
        <w:t>ficient based on land use areas</w:t>
      </w:r>
      <w:r w:rsidR="00C532B1">
        <w:t xml:space="preserve"> is calculated for the site and used to calculate the runoff depth.</w:t>
      </w:r>
    </w:p>
    <w:p w:rsidR="00C74CDF" w:rsidRPr="00C74CDF" w:rsidRDefault="00C74CDF" w:rsidP="00C74CDF">
      <w:pPr>
        <w:pStyle w:val="Caption"/>
        <w:keepNext/>
        <w:jc w:val="center"/>
        <w:rPr>
          <w:sz w:val="20"/>
          <w:szCs w:val="20"/>
        </w:rPr>
      </w:pPr>
      <w:r w:rsidRPr="00C74CDF">
        <w:rPr>
          <w:sz w:val="20"/>
          <w:szCs w:val="20"/>
        </w:rPr>
        <w:t>Runoff coefficients by land use type and soil type</w:t>
      </w:r>
    </w:p>
    <w:tbl>
      <w:tblPr>
        <w:tblW w:w="7356" w:type="dxa"/>
        <w:jc w:val="center"/>
        <w:tblInd w:w="-484" w:type="dxa"/>
        <w:tblLook w:val="04A0" w:firstRow="1" w:lastRow="0" w:firstColumn="1" w:lastColumn="0" w:noHBand="0" w:noVBand="1"/>
      </w:tblPr>
      <w:tblGrid>
        <w:gridCol w:w="3036"/>
        <w:gridCol w:w="1080"/>
        <w:gridCol w:w="1080"/>
        <w:gridCol w:w="1080"/>
        <w:gridCol w:w="1080"/>
      </w:tblGrid>
      <w:tr w:rsidR="00B16832" w:rsidRPr="000C7D36" w:rsidTr="00B16832">
        <w:trPr>
          <w:trHeight w:val="440"/>
          <w:jc w:val="center"/>
        </w:trPr>
        <w:tc>
          <w:tcPr>
            <w:tcW w:w="30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7D36" w:rsidRPr="000C7D36" w:rsidRDefault="000C7D36" w:rsidP="00B16832">
            <w:pPr>
              <w:spacing w:after="0" w:line="240" w:lineRule="auto"/>
              <w:rPr>
                <w:rFonts w:eastAsia="Times New Roman" w:cs="Arial"/>
                <w:b/>
                <w:bCs/>
              </w:rPr>
            </w:pPr>
            <w:r w:rsidRPr="000C7D36">
              <w:rPr>
                <w:rFonts w:eastAsia="Times New Roman" w:cs="Arial"/>
                <w:b/>
                <w:bCs/>
              </w:rPr>
              <w:t>Rv Coefficients</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C7D36" w:rsidRPr="000C7D36" w:rsidRDefault="000C7D36" w:rsidP="00B16832">
            <w:pPr>
              <w:spacing w:after="0" w:line="240" w:lineRule="auto"/>
              <w:jc w:val="center"/>
              <w:rPr>
                <w:rFonts w:eastAsia="Times New Roman" w:cs="Arial"/>
                <w:b/>
                <w:bCs/>
              </w:rPr>
            </w:pPr>
            <w:r w:rsidRPr="000C7D36">
              <w:rPr>
                <w:rFonts w:eastAsia="Times New Roman" w:cs="Arial"/>
                <w:b/>
                <w:bCs/>
              </w:rPr>
              <w:t>A soils</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C7D36" w:rsidRPr="000C7D36" w:rsidRDefault="000C7D36" w:rsidP="00B16832">
            <w:pPr>
              <w:spacing w:after="0" w:line="240" w:lineRule="auto"/>
              <w:jc w:val="center"/>
              <w:rPr>
                <w:rFonts w:eastAsia="Times New Roman" w:cs="Arial"/>
                <w:b/>
                <w:bCs/>
              </w:rPr>
            </w:pPr>
            <w:r w:rsidRPr="000C7D36">
              <w:rPr>
                <w:rFonts w:eastAsia="Times New Roman" w:cs="Arial"/>
                <w:b/>
                <w:bCs/>
              </w:rPr>
              <w:t>B Soils</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C7D36" w:rsidRPr="000C7D36" w:rsidRDefault="000C7D36" w:rsidP="00B16832">
            <w:pPr>
              <w:spacing w:after="0" w:line="240" w:lineRule="auto"/>
              <w:jc w:val="center"/>
              <w:rPr>
                <w:rFonts w:eastAsia="Times New Roman" w:cs="Arial"/>
                <w:b/>
                <w:bCs/>
              </w:rPr>
            </w:pPr>
            <w:r w:rsidRPr="000C7D36">
              <w:rPr>
                <w:rFonts w:eastAsia="Times New Roman" w:cs="Arial"/>
                <w:b/>
                <w:bCs/>
              </w:rPr>
              <w:t>C Soils</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C7D36" w:rsidRPr="000C7D36" w:rsidRDefault="000C7D36" w:rsidP="00B16832">
            <w:pPr>
              <w:spacing w:after="0" w:line="240" w:lineRule="auto"/>
              <w:jc w:val="center"/>
              <w:rPr>
                <w:rFonts w:eastAsia="Times New Roman" w:cs="Arial"/>
                <w:b/>
                <w:bCs/>
              </w:rPr>
            </w:pPr>
            <w:r w:rsidRPr="000C7D36">
              <w:rPr>
                <w:rFonts w:eastAsia="Times New Roman" w:cs="Arial"/>
                <w:b/>
                <w:bCs/>
              </w:rPr>
              <w:t>D Soils</w:t>
            </w:r>
          </w:p>
        </w:tc>
      </w:tr>
      <w:tr w:rsidR="00B16832" w:rsidRPr="000C7D36" w:rsidTr="00B16832">
        <w:trPr>
          <w:trHeight w:val="315"/>
          <w:jc w:val="center"/>
        </w:trPr>
        <w:tc>
          <w:tcPr>
            <w:tcW w:w="3036" w:type="dxa"/>
            <w:tcBorders>
              <w:top w:val="nil"/>
              <w:left w:val="single" w:sz="4" w:space="0" w:color="auto"/>
              <w:bottom w:val="single" w:sz="4" w:space="0" w:color="auto"/>
              <w:right w:val="single" w:sz="4" w:space="0" w:color="auto"/>
            </w:tcBorders>
            <w:shd w:val="clear" w:color="auto" w:fill="auto"/>
            <w:noWrap/>
            <w:vAlign w:val="center"/>
            <w:hideMark/>
          </w:tcPr>
          <w:p w:rsidR="000C7D36" w:rsidRPr="000C7D36" w:rsidRDefault="000C7D36" w:rsidP="00B16832">
            <w:pPr>
              <w:spacing w:after="0" w:line="240" w:lineRule="auto"/>
              <w:rPr>
                <w:rFonts w:eastAsia="Times New Roman" w:cs="Arial"/>
              </w:rPr>
            </w:pPr>
            <w:r w:rsidRPr="000C7D36">
              <w:rPr>
                <w:rFonts w:eastAsia="Times New Roman" w:cs="Arial"/>
              </w:rPr>
              <w:t>Forest/Open Space</w:t>
            </w:r>
          </w:p>
        </w:tc>
        <w:tc>
          <w:tcPr>
            <w:tcW w:w="1080" w:type="dxa"/>
            <w:tcBorders>
              <w:top w:val="nil"/>
              <w:left w:val="nil"/>
              <w:bottom w:val="single" w:sz="4" w:space="0" w:color="auto"/>
              <w:right w:val="single" w:sz="4" w:space="0" w:color="auto"/>
            </w:tcBorders>
            <w:shd w:val="clear" w:color="000000" w:fill="FFFF99"/>
            <w:noWrap/>
            <w:vAlign w:val="center"/>
            <w:hideMark/>
          </w:tcPr>
          <w:p w:rsidR="000C7D36" w:rsidRPr="000C7D36" w:rsidRDefault="000C7D36" w:rsidP="00B16832">
            <w:pPr>
              <w:spacing w:after="0" w:line="240" w:lineRule="auto"/>
              <w:jc w:val="center"/>
              <w:rPr>
                <w:rFonts w:eastAsia="Times New Roman" w:cs="Arial"/>
              </w:rPr>
            </w:pPr>
            <w:r w:rsidRPr="000C7D36">
              <w:rPr>
                <w:rFonts w:eastAsia="Times New Roman" w:cs="Arial"/>
              </w:rPr>
              <w:t>0.02</w:t>
            </w:r>
          </w:p>
        </w:tc>
        <w:tc>
          <w:tcPr>
            <w:tcW w:w="1080" w:type="dxa"/>
            <w:tcBorders>
              <w:top w:val="nil"/>
              <w:left w:val="nil"/>
              <w:bottom w:val="single" w:sz="4" w:space="0" w:color="auto"/>
              <w:right w:val="single" w:sz="4" w:space="0" w:color="auto"/>
            </w:tcBorders>
            <w:shd w:val="clear" w:color="000000" w:fill="FFFF99"/>
            <w:noWrap/>
            <w:vAlign w:val="center"/>
            <w:hideMark/>
          </w:tcPr>
          <w:p w:rsidR="000C7D36" w:rsidRPr="000C7D36" w:rsidRDefault="000C7D36" w:rsidP="00B16832">
            <w:pPr>
              <w:spacing w:after="0" w:line="240" w:lineRule="auto"/>
              <w:jc w:val="center"/>
              <w:rPr>
                <w:rFonts w:eastAsia="Times New Roman" w:cs="Arial"/>
              </w:rPr>
            </w:pPr>
            <w:r w:rsidRPr="000C7D36">
              <w:rPr>
                <w:rFonts w:eastAsia="Times New Roman" w:cs="Arial"/>
              </w:rPr>
              <w:t>0.03</w:t>
            </w:r>
          </w:p>
        </w:tc>
        <w:tc>
          <w:tcPr>
            <w:tcW w:w="1080" w:type="dxa"/>
            <w:tcBorders>
              <w:top w:val="nil"/>
              <w:left w:val="nil"/>
              <w:bottom w:val="single" w:sz="4" w:space="0" w:color="auto"/>
              <w:right w:val="single" w:sz="4" w:space="0" w:color="auto"/>
            </w:tcBorders>
            <w:shd w:val="clear" w:color="000000" w:fill="FFFF99"/>
            <w:noWrap/>
            <w:vAlign w:val="center"/>
            <w:hideMark/>
          </w:tcPr>
          <w:p w:rsidR="000C7D36" w:rsidRPr="000C7D36" w:rsidRDefault="000C7D36" w:rsidP="00B16832">
            <w:pPr>
              <w:spacing w:after="0" w:line="240" w:lineRule="auto"/>
              <w:jc w:val="center"/>
              <w:rPr>
                <w:rFonts w:eastAsia="Times New Roman" w:cs="Arial"/>
              </w:rPr>
            </w:pPr>
            <w:r w:rsidRPr="000C7D36">
              <w:rPr>
                <w:rFonts w:eastAsia="Times New Roman" w:cs="Arial"/>
              </w:rPr>
              <w:t>0.04</w:t>
            </w:r>
          </w:p>
        </w:tc>
        <w:tc>
          <w:tcPr>
            <w:tcW w:w="1080" w:type="dxa"/>
            <w:tcBorders>
              <w:top w:val="nil"/>
              <w:left w:val="nil"/>
              <w:bottom w:val="single" w:sz="4" w:space="0" w:color="auto"/>
              <w:right w:val="single" w:sz="4" w:space="0" w:color="auto"/>
            </w:tcBorders>
            <w:shd w:val="clear" w:color="000000" w:fill="FFFF99"/>
            <w:noWrap/>
            <w:vAlign w:val="center"/>
            <w:hideMark/>
          </w:tcPr>
          <w:p w:rsidR="000C7D36" w:rsidRPr="000C7D36" w:rsidRDefault="000C7D36" w:rsidP="00B16832">
            <w:pPr>
              <w:spacing w:after="0" w:line="240" w:lineRule="auto"/>
              <w:jc w:val="center"/>
              <w:rPr>
                <w:rFonts w:eastAsia="Times New Roman" w:cs="Arial"/>
              </w:rPr>
            </w:pPr>
            <w:r w:rsidRPr="000C7D36">
              <w:rPr>
                <w:rFonts w:eastAsia="Times New Roman" w:cs="Arial"/>
              </w:rPr>
              <w:t>0.05</w:t>
            </w:r>
          </w:p>
        </w:tc>
      </w:tr>
      <w:tr w:rsidR="00B16832" w:rsidRPr="000C7D36" w:rsidTr="00B16832">
        <w:trPr>
          <w:trHeight w:val="315"/>
          <w:jc w:val="center"/>
        </w:trPr>
        <w:tc>
          <w:tcPr>
            <w:tcW w:w="3036" w:type="dxa"/>
            <w:tcBorders>
              <w:top w:val="nil"/>
              <w:left w:val="single" w:sz="4" w:space="0" w:color="auto"/>
              <w:bottom w:val="single" w:sz="4" w:space="0" w:color="auto"/>
              <w:right w:val="single" w:sz="4" w:space="0" w:color="auto"/>
            </w:tcBorders>
            <w:shd w:val="clear" w:color="auto" w:fill="auto"/>
            <w:noWrap/>
            <w:vAlign w:val="center"/>
            <w:hideMark/>
          </w:tcPr>
          <w:p w:rsidR="000C7D36" w:rsidRPr="000C7D36" w:rsidRDefault="000C7D36" w:rsidP="00B16832">
            <w:pPr>
              <w:spacing w:after="0" w:line="240" w:lineRule="auto"/>
              <w:rPr>
                <w:rFonts w:eastAsia="Times New Roman" w:cs="Arial"/>
              </w:rPr>
            </w:pPr>
            <w:r w:rsidRPr="000C7D36">
              <w:rPr>
                <w:rFonts w:eastAsia="Times New Roman" w:cs="Arial"/>
              </w:rPr>
              <w:t>Managed Turf (disturbed soils)</w:t>
            </w:r>
          </w:p>
        </w:tc>
        <w:tc>
          <w:tcPr>
            <w:tcW w:w="1080" w:type="dxa"/>
            <w:tcBorders>
              <w:top w:val="nil"/>
              <w:left w:val="nil"/>
              <w:bottom w:val="single" w:sz="4" w:space="0" w:color="auto"/>
              <w:right w:val="single" w:sz="4" w:space="0" w:color="auto"/>
            </w:tcBorders>
            <w:shd w:val="clear" w:color="000000" w:fill="FFFF99"/>
            <w:noWrap/>
            <w:vAlign w:val="center"/>
            <w:hideMark/>
          </w:tcPr>
          <w:p w:rsidR="000C7D36" w:rsidRPr="000C7D36" w:rsidRDefault="000C7D36" w:rsidP="00B16832">
            <w:pPr>
              <w:spacing w:after="0" w:line="240" w:lineRule="auto"/>
              <w:jc w:val="center"/>
              <w:rPr>
                <w:rFonts w:eastAsia="Times New Roman" w:cs="Arial"/>
              </w:rPr>
            </w:pPr>
            <w:r w:rsidRPr="000C7D36">
              <w:rPr>
                <w:rFonts w:eastAsia="Times New Roman" w:cs="Arial"/>
              </w:rPr>
              <w:t>0.15</w:t>
            </w:r>
          </w:p>
        </w:tc>
        <w:tc>
          <w:tcPr>
            <w:tcW w:w="1080" w:type="dxa"/>
            <w:tcBorders>
              <w:top w:val="nil"/>
              <w:left w:val="nil"/>
              <w:bottom w:val="single" w:sz="4" w:space="0" w:color="auto"/>
              <w:right w:val="single" w:sz="4" w:space="0" w:color="auto"/>
            </w:tcBorders>
            <w:shd w:val="clear" w:color="000000" w:fill="FFFF99"/>
            <w:noWrap/>
            <w:vAlign w:val="center"/>
            <w:hideMark/>
          </w:tcPr>
          <w:p w:rsidR="000C7D36" w:rsidRPr="000C7D36" w:rsidRDefault="000C7D36" w:rsidP="00B16832">
            <w:pPr>
              <w:spacing w:after="0" w:line="240" w:lineRule="auto"/>
              <w:jc w:val="center"/>
              <w:rPr>
                <w:rFonts w:eastAsia="Times New Roman" w:cs="Arial"/>
              </w:rPr>
            </w:pPr>
            <w:r w:rsidRPr="000C7D36">
              <w:rPr>
                <w:rFonts w:eastAsia="Times New Roman" w:cs="Arial"/>
              </w:rPr>
              <w:t>0.20</w:t>
            </w:r>
          </w:p>
        </w:tc>
        <w:tc>
          <w:tcPr>
            <w:tcW w:w="1080" w:type="dxa"/>
            <w:tcBorders>
              <w:top w:val="nil"/>
              <w:left w:val="nil"/>
              <w:bottom w:val="single" w:sz="4" w:space="0" w:color="auto"/>
              <w:right w:val="single" w:sz="4" w:space="0" w:color="auto"/>
            </w:tcBorders>
            <w:shd w:val="clear" w:color="000000" w:fill="FFFF99"/>
            <w:noWrap/>
            <w:vAlign w:val="center"/>
            <w:hideMark/>
          </w:tcPr>
          <w:p w:rsidR="000C7D36" w:rsidRPr="000C7D36" w:rsidRDefault="000C7D36" w:rsidP="00B16832">
            <w:pPr>
              <w:spacing w:after="0" w:line="240" w:lineRule="auto"/>
              <w:jc w:val="center"/>
              <w:rPr>
                <w:rFonts w:eastAsia="Times New Roman" w:cs="Arial"/>
              </w:rPr>
            </w:pPr>
            <w:r w:rsidRPr="000C7D36">
              <w:rPr>
                <w:rFonts w:eastAsia="Times New Roman" w:cs="Arial"/>
              </w:rPr>
              <w:t>0.22</w:t>
            </w:r>
          </w:p>
        </w:tc>
        <w:tc>
          <w:tcPr>
            <w:tcW w:w="1080" w:type="dxa"/>
            <w:tcBorders>
              <w:top w:val="nil"/>
              <w:left w:val="nil"/>
              <w:bottom w:val="single" w:sz="4" w:space="0" w:color="auto"/>
              <w:right w:val="single" w:sz="4" w:space="0" w:color="auto"/>
            </w:tcBorders>
            <w:shd w:val="clear" w:color="000000" w:fill="FFFF99"/>
            <w:noWrap/>
            <w:vAlign w:val="center"/>
            <w:hideMark/>
          </w:tcPr>
          <w:p w:rsidR="000C7D36" w:rsidRPr="000C7D36" w:rsidRDefault="000C7D36" w:rsidP="00B16832">
            <w:pPr>
              <w:spacing w:after="0" w:line="240" w:lineRule="auto"/>
              <w:jc w:val="center"/>
              <w:rPr>
                <w:rFonts w:eastAsia="Times New Roman" w:cs="Arial"/>
              </w:rPr>
            </w:pPr>
            <w:r w:rsidRPr="000C7D36">
              <w:rPr>
                <w:rFonts w:eastAsia="Times New Roman" w:cs="Arial"/>
              </w:rPr>
              <w:t>0.25</w:t>
            </w:r>
          </w:p>
        </w:tc>
      </w:tr>
      <w:tr w:rsidR="00B16832" w:rsidRPr="000C7D36" w:rsidTr="00B16832">
        <w:trPr>
          <w:trHeight w:val="300"/>
          <w:jc w:val="center"/>
        </w:trPr>
        <w:tc>
          <w:tcPr>
            <w:tcW w:w="3036" w:type="dxa"/>
            <w:tcBorders>
              <w:top w:val="nil"/>
              <w:left w:val="single" w:sz="4" w:space="0" w:color="auto"/>
              <w:bottom w:val="single" w:sz="4" w:space="0" w:color="auto"/>
              <w:right w:val="single" w:sz="4" w:space="0" w:color="auto"/>
            </w:tcBorders>
            <w:shd w:val="clear" w:color="auto" w:fill="auto"/>
            <w:noWrap/>
            <w:vAlign w:val="center"/>
            <w:hideMark/>
          </w:tcPr>
          <w:p w:rsidR="000C7D36" w:rsidRPr="000C7D36" w:rsidRDefault="000C7D36" w:rsidP="00B16832">
            <w:pPr>
              <w:spacing w:after="0" w:line="240" w:lineRule="auto"/>
              <w:rPr>
                <w:rFonts w:eastAsia="Times New Roman" w:cs="Arial"/>
              </w:rPr>
            </w:pPr>
            <w:r w:rsidRPr="000C7D36">
              <w:rPr>
                <w:rFonts w:eastAsia="Times New Roman" w:cs="Arial"/>
              </w:rPr>
              <w:t>Impervious Cover</w:t>
            </w:r>
          </w:p>
        </w:tc>
        <w:tc>
          <w:tcPr>
            <w:tcW w:w="1080" w:type="dxa"/>
            <w:tcBorders>
              <w:top w:val="nil"/>
              <w:left w:val="nil"/>
              <w:bottom w:val="single" w:sz="4" w:space="0" w:color="auto"/>
              <w:right w:val="single" w:sz="4" w:space="0" w:color="auto"/>
            </w:tcBorders>
            <w:shd w:val="clear" w:color="000000" w:fill="FFFF99"/>
            <w:noWrap/>
            <w:vAlign w:val="center"/>
            <w:hideMark/>
          </w:tcPr>
          <w:p w:rsidR="000C7D36" w:rsidRPr="000C7D36" w:rsidRDefault="000C7D36" w:rsidP="00B16832">
            <w:pPr>
              <w:spacing w:after="0" w:line="240" w:lineRule="auto"/>
              <w:jc w:val="center"/>
              <w:rPr>
                <w:rFonts w:eastAsia="Times New Roman" w:cs="Arial"/>
              </w:rPr>
            </w:pPr>
            <w:r w:rsidRPr="000C7D36">
              <w:rPr>
                <w:rFonts w:eastAsia="Times New Roman" w:cs="Arial"/>
              </w:rPr>
              <w:t>0.95</w:t>
            </w:r>
          </w:p>
        </w:tc>
        <w:tc>
          <w:tcPr>
            <w:tcW w:w="1080" w:type="dxa"/>
            <w:tcBorders>
              <w:top w:val="nil"/>
              <w:left w:val="nil"/>
              <w:bottom w:val="single" w:sz="4" w:space="0" w:color="auto"/>
              <w:right w:val="single" w:sz="4" w:space="0" w:color="auto"/>
            </w:tcBorders>
            <w:shd w:val="clear" w:color="000000" w:fill="FFFF99"/>
            <w:noWrap/>
            <w:vAlign w:val="center"/>
            <w:hideMark/>
          </w:tcPr>
          <w:p w:rsidR="000C7D36" w:rsidRPr="000C7D36" w:rsidRDefault="000C7D36" w:rsidP="00B16832">
            <w:pPr>
              <w:spacing w:after="0" w:line="240" w:lineRule="auto"/>
              <w:jc w:val="center"/>
              <w:rPr>
                <w:rFonts w:eastAsia="Times New Roman" w:cs="Arial"/>
              </w:rPr>
            </w:pPr>
            <w:r w:rsidRPr="000C7D36">
              <w:rPr>
                <w:rFonts w:eastAsia="Times New Roman" w:cs="Arial"/>
              </w:rPr>
              <w:t>0.95</w:t>
            </w:r>
          </w:p>
        </w:tc>
        <w:tc>
          <w:tcPr>
            <w:tcW w:w="1080" w:type="dxa"/>
            <w:tcBorders>
              <w:top w:val="nil"/>
              <w:left w:val="nil"/>
              <w:bottom w:val="single" w:sz="4" w:space="0" w:color="auto"/>
              <w:right w:val="single" w:sz="4" w:space="0" w:color="auto"/>
            </w:tcBorders>
            <w:shd w:val="clear" w:color="000000" w:fill="FFFF99"/>
            <w:noWrap/>
            <w:vAlign w:val="center"/>
            <w:hideMark/>
          </w:tcPr>
          <w:p w:rsidR="000C7D36" w:rsidRPr="000C7D36" w:rsidRDefault="000C7D36" w:rsidP="00B16832">
            <w:pPr>
              <w:spacing w:after="0" w:line="240" w:lineRule="auto"/>
              <w:jc w:val="center"/>
              <w:rPr>
                <w:rFonts w:eastAsia="Times New Roman" w:cs="Arial"/>
              </w:rPr>
            </w:pPr>
            <w:r w:rsidRPr="000C7D36">
              <w:rPr>
                <w:rFonts w:eastAsia="Times New Roman" w:cs="Arial"/>
              </w:rPr>
              <w:t>0.95</w:t>
            </w:r>
          </w:p>
        </w:tc>
        <w:tc>
          <w:tcPr>
            <w:tcW w:w="1080" w:type="dxa"/>
            <w:tcBorders>
              <w:top w:val="nil"/>
              <w:left w:val="nil"/>
              <w:bottom w:val="single" w:sz="4" w:space="0" w:color="auto"/>
              <w:right w:val="single" w:sz="4" w:space="0" w:color="auto"/>
            </w:tcBorders>
            <w:shd w:val="clear" w:color="000000" w:fill="FFFF99"/>
            <w:noWrap/>
            <w:vAlign w:val="center"/>
            <w:hideMark/>
          </w:tcPr>
          <w:p w:rsidR="000C7D36" w:rsidRPr="000C7D36" w:rsidRDefault="000C7D36" w:rsidP="00B16832">
            <w:pPr>
              <w:spacing w:after="0" w:line="240" w:lineRule="auto"/>
              <w:jc w:val="center"/>
              <w:rPr>
                <w:rFonts w:eastAsia="Times New Roman" w:cs="Arial"/>
              </w:rPr>
            </w:pPr>
            <w:r w:rsidRPr="000C7D36">
              <w:rPr>
                <w:rFonts w:eastAsia="Times New Roman" w:cs="Arial"/>
              </w:rPr>
              <w:t>0.95</w:t>
            </w:r>
          </w:p>
        </w:tc>
      </w:tr>
    </w:tbl>
    <w:p w:rsidR="00CD7154" w:rsidRDefault="00CD7154" w:rsidP="00CD7154">
      <w:pPr>
        <w:rPr>
          <w:lang w:val="en"/>
        </w:rPr>
      </w:pPr>
    </w:p>
    <w:p w:rsidR="00667DA6" w:rsidRPr="0054795F" w:rsidRDefault="0054795F" w:rsidP="00667DA6">
      <w:pPr>
        <w:rPr>
          <w:rFonts w:eastAsiaTheme="minorEastAsia"/>
        </w:rPr>
      </w:pPr>
      <w:r>
        <w:t xml:space="preserve">The annual runoff volume is used to calculate the </w:t>
      </w:r>
      <w:r w:rsidR="00667DA6">
        <w:t>pollutant load</w:t>
      </w:r>
      <w:r>
        <w:t>s from the site.  The</w:t>
      </w:r>
      <w:r w:rsidR="00B178FB">
        <w:t xml:space="preserve"> pollutants loads (L) in pounds are</w:t>
      </w:r>
      <w:r>
        <w:t xml:space="preserve"> c</w:t>
      </w:r>
      <w:r w:rsidR="00B178FB">
        <w:t>alculated with the following:</w:t>
      </w:r>
    </w:p>
    <w:p w:rsidR="00667DA6" w:rsidRDefault="00667DA6" w:rsidP="00667DA6">
      <w:pPr>
        <w:rPr>
          <w:rFonts w:eastAsiaTheme="minorEastAsia"/>
        </w:rPr>
      </w:pPr>
    </w:p>
    <w:p w:rsidR="00667DA6" w:rsidRPr="00667DA6" w:rsidRDefault="00667DA6" w:rsidP="00667DA6">
      <w:pPr>
        <w:rPr>
          <w:rFonts w:eastAsiaTheme="minorEastAsia"/>
        </w:rPr>
      </w:pPr>
      <m:oMathPara>
        <m:oMath>
          <m:r>
            <w:rPr>
              <w:rFonts w:ascii="Cambria Math" w:hAnsi="Cambria Math"/>
            </w:rPr>
            <m:t>L=R*C*6.243*</m:t>
          </m:r>
          <m:sSup>
            <m:sSupPr>
              <m:ctrlPr>
                <w:rPr>
                  <w:rFonts w:ascii="Cambria Math" w:hAnsi="Cambria Math"/>
                  <w:i/>
                </w:rPr>
              </m:ctrlPr>
            </m:sSupPr>
            <m:e>
              <m:r>
                <w:rPr>
                  <w:rFonts w:ascii="Cambria Math" w:hAnsi="Cambria Math"/>
                </w:rPr>
                <m:t>10</m:t>
              </m:r>
            </m:e>
            <m:sup>
              <m:r>
                <w:rPr>
                  <w:rFonts w:ascii="Cambria Math" w:hAnsi="Cambria Math"/>
                </w:rPr>
                <m:t>-5</m:t>
              </m:r>
            </m:sup>
          </m:sSup>
        </m:oMath>
      </m:oMathPara>
    </w:p>
    <w:p w:rsidR="00B178FB" w:rsidRDefault="00B178FB" w:rsidP="00331A7F">
      <w:pPr>
        <w:spacing w:after="0"/>
        <w:rPr>
          <w:rFonts w:eastAsiaTheme="minorEastAsia"/>
        </w:rPr>
      </w:pPr>
      <w:r>
        <w:rPr>
          <w:rFonts w:eastAsiaTheme="minorEastAsia"/>
        </w:rPr>
        <w:t>Where:</w:t>
      </w:r>
    </w:p>
    <w:p w:rsidR="00B178FB" w:rsidRDefault="00B178FB" w:rsidP="00331A7F">
      <w:pPr>
        <w:spacing w:after="0"/>
        <w:ind w:left="720"/>
      </w:pPr>
      <w:r>
        <w:t>R is the annual runoff volume in cubic feet;</w:t>
      </w:r>
    </w:p>
    <w:p w:rsidR="00B178FB" w:rsidRDefault="00B178FB" w:rsidP="00331A7F">
      <w:pPr>
        <w:spacing w:after="0"/>
        <w:ind w:left="720"/>
      </w:pPr>
      <w:r>
        <w:t xml:space="preserve">C is an average annual pollutant concentration in mg/l; and </w:t>
      </w:r>
    </w:p>
    <w:p w:rsidR="00B178FB" w:rsidRDefault="00B178FB" w:rsidP="00331A7F">
      <w:pPr>
        <w:spacing w:after="0"/>
        <w:ind w:left="720"/>
        <w:rPr>
          <w:rFonts w:eastAsiaTheme="minorEastAsia"/>
        </w:rPr>
      </w:pPr>
      <w:r>
        <w:t>6.243 * 10</w:t>
      </w:r>
      <w:r w:rsidRPr="0054795F">
        <w:rPr>
          <w:vertAlign w:val="superscript"/>
        </w:rPr>
        <w:t>-5</w:t>
      </w:r>
      <w:r>
        <w:t xml:space="preserve"> is a conversion factor of to convert the final result to pounds.</w:t>
      </w:r>
    </w:p>
    <w:p w:rsidR="00B178FB" w:rsidRDefault="00B178FB" w:rsidP="00667DA6">
      <w:pPr>
        <w:rPr>
          <w:rFonts w:eastAsiaTheme="minorEastAsia"/>
        </w:rPr>
      </w:pPr>
    </w:p>
    <w:p w:rsidR="00B178FB" w:rsidRDefault="00667DA6" w:rsidP="00667DA6">
      <w:pPr>
        <w:rPr>
          <w:rFonts w:eastAsiaTheme="minorEastAsia"/>
        </w:rPr>
      </w:pPr>
      <w:r>
        <w:rPr>
          <w:rFonts w:eastAsiaTheme="minorEastAsia"/>
        </w:rPr>
        <w:t xml:space="preserve">The pollutant concentrations (C) for TSS and TP are input parameters in the </w:t>
      </w:r>
      <w:r w:rsidR="009F4625">
        <w:rPr>
          <w:rFonts w:eastAsiaTheme="minorEastAsia"/>
        </w:rPr>
        <w:t>“</w:t>
      </w:r>
      <w:r>
        <w:rPr>
          <w:rFonts w:eastAsiaTheme="minorEastAsia"/>
        </w:rPr>
        <w:t>Site Information</w:t>
      </w:r>
      <w:r w:rsidR="009F4625">
        <w:rPr>
          <w:rFonts w:eastAsiaTheme="minorEastAsia"/>
        </w:rPr>
        <w:t>”</w:t>
      </w:r>
      <w:r>
        <w:rPr>
          <w:rFonts w:eastAsiaTheme="minorEastAsia"/>
        </w:rPr>
        <w:t xml:space="preserve"> tab with recommended values of 54.5 mg/l for the TSS EMC (</w:t>
      </w:r>
      <w:hyperlink r:id="rId13" w:history="1">
        <w:r w:rsidRPr="00712E08">
          <w:rPr>
            <w:rStyle w:val="Hyperlink"/>
            <w:rFonts w:eastAsiaTheme="minorEastAsia"/>
          </w:rPr>
          <w:t>Lin, 2003</w:t>
        </w:r>
      </w:hyperlink>
      <w:r>
        <w:rPr>
          <w:rFonts w:eastAsiaTheme="minorEastAsia"/>
        </w:rPr>
        <w:t xml:space="preserve">) and 0.3 mg/l </w:t>
      </w:r>
      <w:r w:rsidR="00331A7F">
        <w:rPr>
          <w:rFonts w:eastAsiaTheme="minorEastAsia"/>
        </w:rPr>
        <w:t>(</w:t>
      </w:r>
      <w:r w:rsidR="00331A7F">
        <w:t xml:space="preserve">average concentrations for residential and multi-family residential areas reported by </w:t>
      </w:r>
      <w:hyperlink r:id="rId14" w:history="1">
        <w:r w:rsidR="00331A7F" w:rsidRPr="00331A7F">
          <w:rPr>
            <w:rStyle w:val="Hyperlink"/>
          </w:rPr>
          <w:t>Pitt et al. 2004</w:t>
        </w:r>
      </w:hyperlink>
      <w:r w:rsidR="00331A7F">
        <w:t xml:space="preserve">) </w:t>
      </w:r>
      <w:r>
        <w:rPr>
          <w:rFonts w:eastAsiaTheme="minorEastAsia"/>
        </w:rPr>
        <w:t xml:space="preserve">for the </w:t>
      </w:r>
      <w:r w:rsidRPr="00331A7F">
        <w:rPr>
          <w:rFonts w:eastAsiaTheme="minorEastAsia"/>
        </w:rPr>
        <w:t>total phosphorus EMC</w:t>
      </w:r>
      <w:r>
        <w:rPr>
          <w:rFonts w:eastAsiaTheme="minorEastAsia"/>
        </w:rPr>
        <w:t>.  These values represent the annual average pollutant concentration in the runoff stormwater from the site. Pollutant EMC values can be changed</w:t>
      </w:r>
      <w:r w:rsidR="009F4625">
        <w:rPr>
          <w:rFonts w:eastAsiaTheme="minorEastAsia"/>
        </w:rPr>
        <w:t>;</w:t>
      </w:r>
      <w:r>
        <w:rPr>
          <w:rFonts w:eastAsiaTheme="minorEastAsia"/>
        </w:rPr>
        <w:t xml:space="preserve"> however, data and analysis </w:t>
      </w:r>
      <w:r w:rsidR="009F4625">
        <w:rPr>
          <w:rFonts w:eastAsiaTheme="minorEastAsia"/>
        </w:rPr>
        <w:t>are</w:t>
      </w:r>
      <w:r>
        <w:rPr>
          <w:rFonts w:eastAsiaTheme="minorEastAsia"/>
        </w:rPr>
        <w:t xml:space="preserve"> required to support the new values.  </w:t>
      </w:r>
    </w:p>
    <w:p w:rsidR="00667DA6" w:rsidRDefault="00667DA6" w:rsidP="00667DA6">
      <w:pPr>
        <w:rPr>
          <w:rFonts w:eastAsiaTheme="minorEastAsia"/>
        </w:rPr>
      </w:pPr>
      <w:r>
        <w:rPr>
          <w:rFonts w:eastAsiaTheme="minorEastAsia"/>
        </w:rPr>
        <w:t>The total phosphorus EMC is further divided into dissolved and particulate phosphorus.  An analysis of nationwide stormwater monitoring data determined that the average percentage of dissolved phosphorus to total phosphorus is ~45% (</w:t>
      </w:r>
      <w:r w:rsidR="009F4625">
        <w:rPr>
          <w:rFonts w:eastAsiaTheme="minorEastAsia"/>
        </w:rPr>
        <w:t>P</w:t>
      </w:r>
      <w:r>
        <w:rPr>
          <w:rFonts w:eastAsiaTheme="minorEastAsia"/>
        </w:rPr>
        <w:t xml:space="preserve">itt et al., 2005).  This division of total phosphorus to 45% dissolved and 55% particulate phosphorus was used to separate the total phosphorus EMC into dissolved and particulate constituents.  Dividing the </w:t>
      </w:r>
      <w:r w:rsidR="00B178FB">
        <w:rPr>
          <w:rFonts w:eastAsiaTheme="minorEastAsia"/>
        </w:rPr>
        <w:t xml:space="preserve">default </w:t>
      </w:r>
      <w:r>
        <w:rPr>
          <w:rFonts w:eastAsiaTheme="minorEastAsia"/>
        </w:rPr>
        <w:t>total phosphorus EMC into dissolved and particulate phosphorus, results in concentrations of 0.135 mg/l for dissolved phosphorus and 0.165 mg/l for particulate phosphorus.</w:t>
      </w:r>
    </w:p>
    <w:p w:rsidR="00C532B1" w:rsidRDefault="008D184A" w:rsidP="00CD7154">
      <w:pPr>
        <w:rPr>
          <w:lang w:val="en"/>
        </w:rPr>
      </w:pPr>
      <w:r>
        <w:rPr>
          <w:lang w:val="en"/>
        </w:rPr>
        <w:t>Annual runoff volumes and p</w:t>
      </w:r>
      <w:r w:rsidR="00C532B1">
        <w:rPr>
          <w:lang w:val="en"/>
        </w:rPr>
        <w:t>ollutant loads are calculated for the entire site using information entered in the “Site Information” tab</w:t>
      </w:r>
      <w:r w:rsidR="00B178FB">
        <w:rPr>
          <w:lang w:val="en"/>
        </w:rPr>
        <w:t>,</w:t>
      </w:r>
      <w:r w:rsidR="00C532B1">
        <w:rPr>
          <w:lang w:val="en"/>
        </w:rPr>
        <w:t xml:space="preserve"> as well as for each individual BMP using the </w:t>
      </w:r>
      <w:r w:rsidR="00B178FB">
        <w:rPr>
          <w:lang w:val="en"/>
        </w:rPr>
        <w:t>land use</w:t>
      </w:r>
      <w:r w:rsidR="00C532B1">
        <w:rPr>
          <w:lang w:val="en"/>
        </w:rPr>
        <w:t xml:space="preserve"> parameters entered for that BMP</w:t>
      </w:r>
      <w:r w:rsidR="00E464C0">
        <w:rPr>
          <w:lang w:val="en"/>
        </w:rPr>
        <w:t xml:space="preserve"> in the “BMP Properties” window</w:t>
      </w:r>
      <w:r w:rsidR="00C532B1">
        <w:rPr>
          <w:lang w:val="en"/>
        </w:rPr>
        <w:t>.</w:t>
      </w:r>
      <w:r>
        <w:rPr>
          <w:lang w:val="en"/>
        </w:rPr>
        <w:t xml:space="preserve"> A screen shot of the “Site Information” tab with the fields used in the annual volume and pollutant load calculations highlighted is displayed below.</w:t>
      </w:r>
    </w:p>
    <w:p w:rsidR="00C216D7" w:rsidRDefault="00C216D7" w:rsidP="00C216D7">
      <w:pPr>
        <w:keepNext/>
      </w:pPr>
      <w:r>
        <w:rPr>
          <w:noProof/>
        </w:rPr>
        <w:lastRenderedPageBreak/>
        <mc:AlternateContent>
          <mc:Choice Requires="wps">
            <w:drawing>
              <wp:anchor distT="0" distB="0" distL="114300" distR="114300" simplePos="0" relativeHeight="251687936" behindDoc="0" locked="0" layoutInCell="1" allowOverlap="1" wp14:anchorId="229F41C7" wp14:editId="52AB3F8A">
                <wp:simplePos x="0" y="0"/>
                <wp:positionH relativeFrom="column">
                  <wp:posOffset>1369695</wp:posOffset>
                </wp:positionH>
                <wp:positionV relativeFrom="paragraph">
                  <wp:posOffset>2570480</wp:posOffset>
                </wp:positionV>
                <wp:extent cx="3735070" cy="1344930"/>
                <wp:effectExtent l="19050" t="19050" r="17780" b="26670"/>
                <wp:wrapNone/>
                <wp:docPr id="7" name="Rectangle 7"/>
                <wp:cNvGraphicFramePr/>
                <a:graphic xmlns:a="http://schemas.openxmlformats.org/drawingml/2006/main">
                  <a:graphicData uri="http://schemas.microsoft.com/office/word/2010/wordprocessingShape">
                    <wps:wsp>
                      <wps:cNvSpPr/>
                      <wps:spPr>
                        <a:xfrm>
                          <a:off x="0" y="0"/>
                          <a:ext cx="3735070" cy="134493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07.85pt;margin-top:202.4pt;width:294.1pt;height:105.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" filled="f" strokecolor="red" strokeweight="3pt"/>
            </w:pict>
          </mc:Fallback>
        </mc:AlternateContent>
      </w:r>
      <w:r>
        <w:rPr>
          <w:noProof/>
        </w:rPr>
        <mc:AlternateContent>
          <mc:Choice Requires="wps">
            <w:drawing>
              <wp:anchor distT="0" distB="0" distL="114300" distR="114300" simplePos="0" relativeHeight="251686912" behindDoc="0" locked="0" layoutInCell="1" allowOverlap="1" wp14:anchorId="2D8A60A8" wp14:editId="30AAC6F4">
                <wp:simplePos x="0" y="0"/>
                <wp:positionH relativeFrom="column">
                  <wp:posOffset>1369695</wp:posOffset>
                </wp:positionH>
                <wp:positionV relativeFrom="paragraph">
                  <wp:posOffset>1785991</wp:posOffset>
                </wp:positionV>
                <wp:extent cx="1767840" cy="689610"/>
                <wp:effectExtent l="19050" t="19050" r="22860" b="15240"/>
                <wp:wrapNone/>
                <wp:docPr id="6" name="Rectangle 6"/>
                <wp:cNvGraphicFramePr/>
                <a:graphic xmlns:a="http://schemas.openxmlformats.org/drawingml/2006/main">
                  <a:graphicData uri="http://schemas.microsoft.com/office/word/2010/wordprocessingShape">
                    <wps:wsp>
                      <wps:cNvSpPr/>
                      <wps:spPr>
                        <a:xfrm>
                          <a:off x="0" y="0"/>
                          <a:ext cx="1767840" cy="68961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07.85pt;margin-top:140.65pt;width:139.2pt;height:54.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" filled="f" strokecolor="red" strokeweight="3pt"/>
            </w:pict>
          </mc:Fallback>
        </mc:AlternateContent>
      </w:r>
      <w:r w:rsidR="00E30EC4">
        <w:rPr>
          <w:noProof/>
        </w:rPr>
        <w:drawing>
          <wp:inline distT="0" distB="0" distL="0" distR="0" wp14:anchorId="67C4D037" wp14:editId="0E8FC456">
            <wp:extent cx="5943600" cy="4457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4457700"/>
                    </a:xfrm>
                    <a:prstGeom prst="rect">
                      <a:avLst/>
                    </a:prstGeom>
                  </pic:spPr>
                </pic:pic>
              </a:graphicData>
            </a:graphic>
          </wp:inline>
        </w:drawing>
      </w:r>
    </w:p>
    <w:p w:rsidR="00C216D7" w:rsidRPr="00C74CDF" w:rsidRDefault="00C216D7" w:rsidP="00C216D7">
      <w:pPr>
        <w:pStyle w:val="Caption"/>
        <w:jc w:val="center"/>
        <w:rPr>
          <w:sz w:val="20"/>
          <w:szCs w:val="20"/>
        </w:rPr>
      </w:pPr>
      <w:r w:rsidRPr="00C74CDF">
        <w:rPr>
          <w:sz w:val="20"/>
          <w:szCs w:val="20"/>
        </w:rPr>
        <w:t xml:space="preserve">Screen shot from </w:t>
      </w:r>
      <w:r w:rsidRPr="00C74CDF">
        <w:rPr>
          <w:sz w:val="20"/>
          <w:szCs w:val="20"/>
          <w:highlight w:val="yellow"/>
        </w:rPr>
        <w:t>bioretention basin (w/out an underdrain)</w:t>
      </w:r>
      <w:r w:rsidRPr="00C74CDF">
        <w:rPr>
          <w:sz w:val="20"/>
          <w:szCs w:val="20"/>
        </w:rPr>
        <w:t xml:space="preserve"> example</w:t>
      </w:r>
    </w:p>
    <w:p w:rsidR="00BE53A3" w:rsidRPr="00B16832" w:rsidRDefault="00BE53A3" w:rsidP="00CD7154">
      <w:pPr>
        <w:rPr>
          <w:lang w:val="en"/>
        </w:rPr>
      </w:pPr>
    </w:p>
    <w:p w:rsidR="00946F26" w:rsidRPr="00946F26" w:rsidRDefault="006734C6" w:rsidP="00946F26">
      <w:pPr>
        <w:pStyle w:val="Heading3"/>
        <w:rPr>
          <w:noProof/>
        </w:rPr>
      </w:pPr>
      <w:r>
        <w:rPr>
          <w:noProof/>
        </w:rPr>
        <w:t xml:space="preserve">Add </w:t>
      </w:r>
      <w:r w:rsidR="008E5530">
        <w:rPr>
          <w:noProof/>
        </w:rPr>
        <w:t xml:space="preserve">stormwater BMPs </w:t>
      </w:r>
      <w:r w:rsidR="008B4577">
        <w:rPr>
          <w:noProof/>
        </w:rPr>
        <w:t>and calculator volume and pollutant reductions</w:t>
      </w:r>
    </w:p>
    <w:p w:rsidR="008B4577" w:rsidRDefault="00FF3298" w:rsidP="00946F26">
      <w:pPr>
        <w:spacing w:before="100" w:beforeAutospacing="1"/>
        <w:rPr>
          <w:lang w:val="en"/>
        </w:rPr>
      </w:pPr>
      <w:r w:rsidRPr="008E5530">
        <w:rPr>
          <w:lang w:val="en"/>
        </w:rPr>
        <w:t xml:space="preserve">A third objective of the MIDS calculator is to </w:t>
      </w:r>
      <w:r w:rsidR="00A05215">
        <w:t>provide</w:t>
      </w:r>
      <w:r w:rsidR="008E5530">
        <w:t xml:space="preserve"> a method to add stormwater BMPs, input BMP specific parameters, </w:t>
      </w:r>
      <w:r w:rsidR="00A05215">
        <w:t>and route overflow stormwater and pollutants to downstream practices</w:t>
      </w:r>
      <w:r w:rsidR="008E5530">
        <w:t xml:space="preserve">. </w:t>
      </w:r>
      <w:r w:rsidR="00F34E2C">
        <w:rPr>
          <w:lang w:val="en"/>
        </w:rPr>
        <w:t xml:space="preserve">BMPs are added to the calculator in the “Schematic” tab by dragging and dropping the icons into the “Schematic” window.  </w:t>
      </w:r>
      <w:r w:rsidR="00E31BAB">
        <w:rPr>
          <w:lang w:val="en"/>
        </w:rPr>
        <w:t>The calculator has a total of 13 BMPs</w:t>
      </w:r>
      <w:r>
        <w:rPr>
          <w:lang w:val="en"/>
        </w:rPr>
        <w:t xml:space="preserve"> that the user can select from and allows for the addition of up to 10 BMPs of a single type</w:t>
      </w:r>
      <w:r w:rsidR="00E31BAB">
        <w:rPr>
          <w:lang w:val="en"/>
        </w:rPr>
        <w:t>.  Each BMP has spec</w:t>
      </w:r>
      <w:r w:rsidR="00150EA7">
        <w:rPr>
          <w:lang w:val="en"/>
        </w:rPr>
        <w:t xml:space="preserve">ific design parameters </w:t>
      </w:r>
      <w:r w:rsidR="00E31BAB">
        <w:rPr>
          <w:lang w:val="en"/>
        </w:rPr>
        <w:t>use</w:t>
      </w:r>
      <w:r w:rsidR="00BE53A3">
        <w:rPr>
          <w:lang w:val="en"/>
        </w:rPr>
        <w:t xml:space="preserve">d to calculate the reduction provided by the BMP </w:t>
      </w:r>
      <w:r w:rsidR="00E31BAB">
        <w:rPr>
          <w:lang w:val="en"/>
        </w:rPr>
        <w:t>towards the performance goal as well as the annual volume and pollutant load reductions.</w:t>
      </w:r>
      <w:r w:rsidR="008529F2">
        <w:rPr>
          <w:lang w:val="en"/>
        </w:rPr>
        <w:t xml:space="preserve">  </w:t>
      </w:r>
    </w:p>
    <w:p w:rsidR="008B4577" w:rsidRDefault="00E30EC4" w:rsidP="008B4577">
      <w:pPr>
        <w:keepNext/>
      </w:pPr>
      <w:r>
        <w:rPr>
          <w:noProof/>
        </w:rPr>
        <w:lastRenderedPageBreak/>
        <w:drawing>
          <wp:inline distT="0" distB="0" distL="0" distR="0" wp14:anchorId="3AE77BC7" wp14:editId="366769FE">
            <wp:extent cx="5943600" cy="4457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4457700"/>
                    </a:xfrm>
                    <a:prstGeom prst="rect">
                      <a:avLst/>
                    </a:prstGeom>
                  </pic:spPr>
                </pic:pic>
              </a:graphicData>
            </a:graphic>
          </wp:inline>
        </w:drawing>
      </w:r>
    </w:p>
    <w:p w:rsidR="008B4577" w:rsidRDefault="008B4577" w:rsidP="008B4577">
      <w:pPr>
        <w:pStyle w:val="Caption"/>
        <w:jc w:val="center"/>
      </w:pPr>
      <w:proofErr w:type="gramStart"/>
      <w:r w:rsidRPr="007B29EA">
        <w:t xml:space="preserve">Screen shot from </w:t>
      </w:r>
      <w:r w:rsidRPr="0047189D">
        <w:rPr>
          <w:highlight w:val="yellow"/>
        </w:rPr>
        <w:t>bioretention basin (w/out an underdrain)</w:t>
      </w:r>
      <w:r w:rsidRPr="007B29EA">
        <w:t xml:space="preserve"> example.</w:t>
      </w:r>
      <w:proofErr w:type="gramEnd"/>
    </w:p>
    <w:p w:rsidR="008B4577" w:rsidRDefault="008B4577" w:rsidP="008E5530">
      <w:pPr>
        <w:rPr>
          <w:lang w:val="en"/>
        </w:rPr>
      </w:pPr>
    </w:p>
    <w:p w:rsidR="006734C6" w:rsidRPr="008E5530" w:rsidRDefault="008B4577" w:rsidP="008E5530">
      <w:r>
        <w:rPr>
          <w:lang w:val="en"/>
        </w:rPr>
        <w:t xml:space="preserve">The fourth objective is to calculator the volume and pollutant reductions for each individual BMP added to the calculator.  </w:t>
      </w:r>
      <w:r w:rsidR="008529F2">
        <w:rPr>
          <w:lang w:val="en"/>
        </w:rPr>
        <w:t xml:space="preserve">The BMPs in the calculator are listed below. </w:t>
      </w:r>
      <w:r w:rsidR="00CD6994">
        <w:rPr>
          <w:lang w:val="en"/>
        </w:rPr>
        <w:t xml:space="preserve">Links are provided to pages specific to </w:t>
      </w:r>
      <w:r w:rsidR="008529F2">
        <w:rPr>
          <w:lang w:val="en"/>
        </w:rPr>
        <w:t>that BMP detailing the design parameters need</w:t>
      </w:r>
      <w:r w:rsidR="0090060A">
        <w:rPr>
          <w:lang w:val="en"/>
        </w:rPr>
        <w:t>ed</w:t>
      </w:r>
      <w:r w:rsidR="008529F2">
        <w:rPr>
          <w:lang w:val="en"/>
        </w:rPr>
        <w:t xml:space="preserve"> in the calculator and the </w:t>
      </w:r>
      <w:r w:rsidR="00BE53A3">
        <w:rPr>
          <w:lang w:val="en"/>
        </w:rPr>
        <w:t xml:space="preserve">individual </w:t>
      </w:r>
      <w:r w:rsidR="008529F2">
        <w:rPr>
          <w:lang w:val="en"/>
        </w:rPr>
        <w:t xml:space="preserve">methods used to calculator </w:t>
      </w:r>
      <w:r>
        <w:rPr>
          <w:lang w:val="en"/>
        </w:rPr>
        <w:t xml:space="preserve">volume reductions applied towards meeting the performance goal as well as annual </w:t>
      </w:r>
      <w:r w:rsidR="008529F2">
        <w:rPr>
          <w:lang w:val="en"/>
        </w:rPr>
        <w:t>volume and pollutant load reductions.</w:t>
      </w:r>
    </w:p>
    <w:p w:rsidR="00A05215" w:rsidRDefault="00A05215" w:rsidP="00A05215"/>
    <w:p w:rsidR="00A05215" w:rsidRDefault="00A05215" w:rsidP="00A05215"/>
    <w:p w:rsidR="00A05215" w:rsidRDefault="00A05215" w:rsidP="00A05215"/>
    <w:p w:rsidR="00A05215" w:rsidRDefault="00A05215" w:rsidP="00A05215"/>
    <w:p w:rsidR="00A05215" w:rsidRDefault="00A05215" w:rsidP="00A05215"/>
    <w:p w:rsidR="00A05215" w:rsidRDefault="00A05215" w:rsidP="00A05215"/>
    <w:tbl>
      <w:tblPr>
        <w:tblStyle w:val="TableGrid"/>
        <w:tblW w:w="9216" w:type="dxa"/>
        <w:jc w:val="center"/>
        <w:tblLook w:val="04A0" w:firstRow="1" w:lastRow="0" w:firstColumn="1" w:lastColumn="0" w:noHBand="0" w:noVBand="1"/>
      </w:tblPr>
      <w:tblGrid>
        <w:gridCol w:w="2304"/>
        <w:gridCol w:w="2304"/>
        <w:gridCol w:w="2304"/>
        <w:gridCol w:w="2304"/>
      </w:tblGrid>
      <w:tr w:rsidR="009C2B2C" w:rsidTr="00E02630">
        <w:trPr>
          <w:trHeight w:val="1008"/>
          <w:tblHeader/>
          <w:jc w:val="center"/>
        </w:trPr>
        <w:tc>
          <w:tcPr>
            <w:tcW w:w="2304" w:type="dxa"/>
            <w:vAlign w:val="center"/>
          </w:tcPr>
          <w:p w:rsidR="009C2B2C" w:rsidRDefault="009C2B2C" w:rsidP="00E02630">
            <w:pPr>
              <w:rPr>
                <w:b/>
              </w:rPr>
            </w:pPr>
            <w:r>
              <w:rPr>
                <w:b/>
              </w:rPr>
              <w:lastRenderedPageBreak/>
              <w:t>BMP Type</w:t>
            </w:r>
          </w:p>
        </w:tc>
        <w:tc>
          <w:tcPr>
            <w:tcW w:w="2304" w:type="dxa"/>
            <w:vAlign w:val="center"/>
          </w:tcPr>
          <w:p w:rsidR="009C2B2C" w:rsidRDefault="009C2B2C" w:rsidP="00E02630">
            <w:pPr>
              <w:rPr>
                <w:b/>
              </w:rPr>
            </w:pPr>
            <w:r>
              <w:rPr>
                <w:b/>
              </w:rPr>
              <w:t>BMP Icon</w:t>
            </w:r>
          </w:p>
        </w:tc>
        <w:tc>
          <w:tcPr>
            <w:tcW w:w="2304" w:type="dxa"/>
            <w:vAlign w:val="center"/>
          </w:tcPr>
          <w:p w:rsidR="009C2B2C" w:rsidRDefault="009C2B2C" w:rsidP="00E02630">
            <w:pPr>
              <w:rPr>
                <w:b/>
              </w:rPr>
            </w:pPr>
            <w:r>
              <w:rPr>
                <w:b/>
              </w:rPr>
              <w:t>BMP Type</w:t>
            </w:r>
          </w:p>
        </w:tc>
        <w:tc>
          <w:tcPr>
            <w:tcW w:w="2304" w:type="dxa"/>
            <w:vAlign w:val="center"/>
          </w:tcPr>
          <w:p w:rsidR="009C2B2C" w:rsidRDefault="009C2B2C" w:rsidP="00E02630">
            <w:pPr>
              <w:rPr>
                <w:b/>
              </w:rPr>
            </w:pPr>
            <w:r>
              <w:rPr>
                <w:b/>
              </w:rPr>
              <w:t>BMP Icon</w:t>
            </w:r>
          </w:p>
        </w:tc>
      </w:tr>
      <w:tr w:rsidR="009C2B2C" w:rsidTr="00E02630">
        <w:trPr>
          <w:trHeight w:val="1008"/>
          <w:jc w:val="center"/>
        </w:trPr>
        <w:tc>
          <w:tcPr>
            <w:tcW w:w="2304" w:type="dxa"/>
            <w:vAlign w:val="center"/>
          </w:tcPr>
          <w:p w:rsidR="009C2B2C" w:rsidRPr="001A3D0F" w:rsidRDefault="009C2B2C" w:rsidP="00E02630">
            <w:hyperlink r:id="rId16" w:history="1">
              <w:r w:rsidRPr="009C2B2C">
                <w:rPr>
                  <w:rStyle w:val="Hyperlink"/>
                </w:rPr>
                <w:t>Gre</w:t>
              </w:r>
              <w:r w:rsidRPr="009C2B2C">
                <w:rPr>
                  <w:rStyle w:val="Hyperlink"/>
                </w:rPr>
                <w:t>e</w:t>
              </w:r>
              <w:r w:rsidRPr="009C2B2C">
                <w:rPr>
                  <w:rStyle w:val="Hyperlink"/>
                </w:rPr>
                <w:t>n Roof</w:t>
              </w:r>
            </w:hyperlink>
          </w:p>
        </w:tc>
        <w:tc>
          <w:tcPr>
            <w:tcW w:w="2304" w:type="dxa"/>
            <w:vAlign w:val="center"/>
          </w:tcPr>
          <w:p w:rsidR="009C2B2C" w:rsidRDefault="009C2B2C" w:rsidP="00E02630">
            <w:pPr>
              <w:rPr>
                <w:b/>
              </w:rPr>
            </w:pPr>
            <w:r>
              <w:rPr>
                <w:b/>
                <w:noProof/>
              </w:rPr>
              <w:drawing>
                <wp:inline distT="0" distB="0" distL="0" distR="0" wp14:anchorId="07C7B0EB" wp14:editId="12DAD2AF">
                  <wp:extent cx="841248" cy="54864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1248" cy="548640"/>
                          </a:xfrm>
                          <a:prstGeom prst="rect">
                            <a:avLst/>
                          </a:prstGeom>
                          <a:noFill/>
                          <a:ln>
                            <a:noFill/>
                          </a:ln>
                        </pic:spPr>
                      </pic:pic>
                    </a:graphicData>
                  </a:graphic>
                </wp:inline>
              </w:drawing>
            </w:r>
          </w:p>
        </w:tc>
        <w:tc>
          <w:tcPr>
            <w:tcW w:w="2304" w:type="dxa"/>
            <w:vAlign w:val="center"/>
          </w:tcPr>
          <w:p w:rsidR="009C2B2C" w:rsidRDefault="009C2B2C" w:rsidP="00E02630">
            <w:pPr>
              <w:rPr>
                <w:b/>
                <w:noProof/>
              </w:rPr>
            </w:pPr>
            <w:hyperlink r:id="rId18" w:history="1">
              <w:r w:rsidRPr="009C2B2C">
                <w:rPr>
                  <w:rStyle w:val="Hyperlink"/>
                </w:rPr>
                <w:t>Swale main c</w:t>
              </w:r>
              <w:r w:rsidRPr="009C2B2C">
                <w:rPr>
                  <w:rStyle w:val="Hyperlink"/>
                </w:rPr>
                <w:t>h</w:t>
              </w:r>
              <w:r w:rsidRPr="009C2B2C">
                <w:rPr>
                  <w:rStyle w:val="Hyperlink"/>
                </w:rPr>
                <w:t>annel</w:t>
              </w:r>
            </w:hyperlink>
          </w:p>
        </w:tc>
        <w:tc>
          <w:tcPr>
            <w:tcW w:w="2304" w:type="dxa"/>
            <w:vAlign w:val="center"/>
          </w:tcPr>
          <w:p w:rsidR="009C2B2C" w:rsidRDefault="009C2B2C" w:rsidP="00E02630">
            <w:pPr>
              <w:rPr>
                <w:b/>
                <w:noProof/>
              </w:rPr>
            </w:pPr>
            <w:r>
              <w:rPr>
                <w:b/>
                <w:noProof/>
              </w:rPr>
              <w:drawing>
                <wp:inline distT="0" distB="0" distL="0" distR="0" wp14:anchorId="6FD13699" wp14:editId="4828802C">
                  <wp:extent cx="841248" cy="5486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1248" cy="548640"/>
                          </a:xfrm>
                          <a:prstGeom prst="rect">
                            <a:avLst/>
                          </a:prstGeom>
                          <a:noFill/>
                          <a:ln>
                            <a:noFill/>
                          </a:ln>
                        </pic:spPr>
                      </pic:pic>
                    </a:graphicData>
                  </a:graphic>
                </wp:inline>
              </w:drawing>
            </w:r>
          </w:p>
        </w:tc>
      </w:tr>
      <w:tr w:rsidR="009C2B2C" w:rsidTr="00E02630">
        <w:trPr>
          <w:trHeight w:val="1008"/>
          <w:jc w:val="center"/>
        </w:trPr>
        <w:tc>
          <w:tcPr>
            <w:tcW w:w="2304" w:type="dxa"/>
            <w:vAlign w:val="center"/>
          </w:tcPr>
          <w:p w:rsidR="009C2B2C" w:rsidRPr="001A3D0F" w:rsidRDefault="009C2B2C" w:rsidP="00E02630">
            <w:hyperlink r:id="rId20" w:history="1">
              <w:proofErr w:type="spellStart"/>
              <w:r w:rsidRPr="009C2B2C">
                <w:rPr>
                  <w:rStyle w:val="Hyperlink"/>
                </w:rPr>
                <w:t>Bior</w:t>
              </w:r>
              <w:r w:rsidRPr="009C2B2C">
                <w:rPr>
                  <w:rStyle w:val="Hyperlink"/>
                </w:rPr>
                <w:t>e</w:t>
              </w:r>
              <w:r w:rsidRPr="009C2B2C">
                <w:rPr>
                  <w:rStyle w:val="Hyperlink"/>
                </w:rPr>
                <w:t>tention</w:t>
              </w:r>
              <w:proofErr w:type="spellEnd"/>
              <w:r w:rsidRPr="009C2B2C">
                <w:rPr>
                  <w:rStyle w:val="Hyperlink"/>
                </w:rPr>
                <w:t xml:space="preserve"> basin (w/o underdrain)</w:t>
              </w:r>
            </w:hyperlink>
          </w:p>
        </w:tc>
        <w:tc>
          <w:tcPr>
            <w:tcW w:w="2304" w:type="dxa"/>
            <w:vAlign w:val="center"/>
          </w:tcPr>
          <w:p w:rsidR="009C2B2C" w:rsidRDefault="009C2B2C" w:rsidP="00E02630">
            <w:pPr>
              <w:rPr>
                <w:b/>
              </w:rPr>
            </w:pPr>
            <w:r>
              <w:rPr>
                <w:b/>
                <w:noProof/>
              </w:rPr>
              <w:drawing>
                <wp:inline distT="0" distB="0" distL="0" distR="0" wp14:anchorId="54C9E3BC" wp14:editId="603295A3">
                  <wp:extent cx="841248" cy="54864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1248" cy="548640"/>
                          </a:xfrm>
                          <a:prstGeom prst="rect">
                            <a:avLst/>
                          </a:prstGeom>
                          <a:noFill/>
                          <a:ln>
                            <a:noFill/>
                          </a:ln>
                        </pic:spPr>
                      </pic:pic>
                    </a:graphicData>
                  </a:graphic>
                </wp:inline>
              </w:drawing>
            </w:r>
          </w:p>
        </w:tc>
        <w:tc>
          <w:tcPr>
            <w:tcW w:w="2304" w:type="dxa"/>
            <w:vAlign w:val="center"/>
          </w:tcPr>
          <w:p w:rsidR="009C2B2C" w:rsidRPr="001A3D0F" w:rsidRDefault="009C2B2C" w:rsidP="00E02630">
            <w:hyperlink r:id="rId22" w:history="1">
              <w:r w:rsidRPr="009C2B2C">
                <w:rPr>
                  <w:rStyle w:val="Hyperlink"/>
                </w:rPr>
                <w:t>Swale m</w:t>
              </w:r>
              <w:r w:rsidRPr="009C2B2C">
                <w:rPr>
                  <w:rStyle w:val="Hyperlink"/>
                </w:rPr>
                <w:t>a</w:t>
              </w:r>
              <w:r w:rsidRPr="009C2B2C">
                <w:rPr>
                  <w:rStyle w:val="Hyperlink"/>
                </w:rPr>
                <w:t>in chan</w:t>
              </w:r>
              <w:r w:rsidRPr="009C2B2C">
                <w:rPr>
                  <w:rStyle w:val="Hyperlink"/>
                </w:rPr>
                <w:t>n</w:t>
              </w:r>
              <w:r w:rsidRPr="009C2B2C">
                <w:rPr>
                  <w:rStyle w:val="Hyperlink"/>
                </w:rPr>
                <w:t>el (with und</w:t>
              </w:r>
              <w:r w:rsidRPr="009C2B2C">
                <w:rPr>
                  <w:rStyle w:val="Hyperlink"/>
                </w:rPr>
                <w:t>e</w:t>
              </w:r>
              <w:r w:rsidRPr="009C2B2C">
                <w:rPr>
                  <w:rStyle w:val="Hyperlink"/>
                </w:rPr>
                <w:t>rd</w:t>
              </w:r>
              <w:r w:rsidRPr="009C2B2C">
                <w:rPr>
                  <w:rStyle w:val="Hyperlink"/>
                </w:rPr>
                <w:t>r</w:t>
              </w:r>
              <w:r w:rsidRPr="009C2B2C">
                <w:rPr>
                  <w:rStyle w:val="Hyperlink"/>
                </w:rPr>
                <w:t>a</w:t>
              </w:r>
              <w:r w:rsidRPr="009C2B2C">
                <w:rPr>
                  <w:rStyle w:val="Hyperlink"/>
                </w:rPr>
                <w:t>i</w:t>
              </w:r>
              <w:r w:rsidRPr="009C2B2C">
                <w:rPr>
                  <w:rStyle w:val="Hyperlink"/>
                </w:rPr>
                <w:t>n)</w:t>
              </w:r>
            </w:hyperlink>
          </w:p>
        </w:tc>
        <w:tc>
          <w:tcPr>
            <w:tcW w:w="2304" w:type="dxa"/>
            <w:vAlign w:val="center"/>
          </w:tcPr>
          <w:p w:rsidR="009C2B2C" w:rsidRDefault="009C2B2C" w:rsidP="00E02630">
            <w:pPr>
              <w:rPr>
                <w:b/>
                <w:noProof/>
              </w:rPr>
            </w:pPr>
            <w:r>
              <w:rPr>
                <w:b/>
                <w:noProof/>
              </w:rPr>
              <w:drawing>
                <wp:inline distT="0" distB="0" distL="0" distR="0" wp14:anchorId="0FA36F1A" wp14:editId="0BE9E69B">
                  <wp:extent cx="841248" cy="548640"/>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1248" cy="548640"/>
                          </a:xfrm>
                          <a:prstGeom prst="rect">
                            <a:avLst/>
                          </a:prstGeom>
                          <a:noFill/>
                          <a:ln>
                            <a:noFill/>
                          </a:ln>
                        </pic:spPr>
                      </pic:pic>
                    </a:graphicData>
                  </a:graphic>
                </wp:inline>
              </w:drawing>
            </w:r>
          </w:p>
        </w:tc>
      </w:tr>
      <w:tr w:rsidR="009C2B2C" w:rsidTr="00E02630">
        <w:trPr>
          <w:trHeight w:val="1008"/>
          <w:jc w:val="center"/>
        </w:trPr>
        <w:tc>
          <w:tcPr>
            <w:tcW w:w="2304" w:type="dxa"/>
            <w:vAlign w:val="center"/>
          </w:tcPr>
          <w:p w:rsidR="009C2B2C" w:rsidRPr="001A3D0F" w:rsidRDefault="009C2B2C" w:rsidP="00E02630">
            <w:hyperlink r:id="rId24" w:history="1">
              <w:proofErr w:type="spellStart"/>
              <w:r w:rsidRPr="009C2B2C">
                <w:rPr>
                  <w:rStyle w:val="Hyperlink"/>
                </w:rPr>
                <w:t>Bioretentio</w:t>
              </w:r>
              <w:r w:rsidRPr="009C2B2C">
                <w:rPr>
                  <w:rStyle w:val="Hyperlink"/>
                </w:rPr>
                <w:t>n</w:t>
              </w:r>
              <w:proofErr w:type="spellEnd"/>
              <w:r w:rsidRPr="009C2B2C">
                <w:rPr>
                  <w:rStyle w:val="Hyperlink"/>
                </w:rPr>
                <w:t xml:space="preserve"> basin (with underdrain)</w:t>
              </w:r>
            </w:hyperlink>
          </w:p>
        </w:tc>
        <w:tc>
          <w:tcPr>
            <w:tcW w:w="2304" w:type="dxa"/>
            <w:vAlign w:val="center"/>
          </w:tcPr>
          <w:p w:rsidR="009C2B2C" w:rsidRDefault="009C2B2C" w:rsidP="00E02630">
            <w:pPr>
              <w:rPr>
                <w:b/>
              </w:rPr>
            </w:pPr>
            <w:r>
              <w:rPr>
                <w:b/>
                <w:noProof/>
              </w:rPr>
              <w:drawing>
                <wp:inline distT="0" distB="0" distL="0" distR="0" wp14:anchorId="27407797" wp14:editId="6F38A6EE">
                  <wp:extent cx="839419" cy="548640"/>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39419" cy="548640"/>
                          </a:xfrm>
                          <a:prstGeom prst="rect">
                            <a:avLst/>
                          </a:prstGeom>
                          <a:noFill/>
                          <a:ln>
                            <a:noFill/>
                          </a:ln>
                        </pic:spPr>
                      </pic:pic>
                    </a:graphicData>
                  </a:graphic>
                </wp:inline>
              </w:drawing>
            </w:r>
          </w:p>
        </w:tc>
        <w:tc>
          <w:tcPr>
            <w:tcW w:w="2304" w:type="dxa"/>
            <w:vAlign w:val="center"/>
          </w:tcPr>
          <w:p w:rsidR="009C2B2C" w:rsidRPr="001A3D0F" w:rsidRDefault="009C2B2C" w:rsidP="00E02630">
            <w:hyperlink r:id="rId26" w:history="1">
              <w:r w:rsidRPr="009C2B2C">
                <w:rPr>
                  <w:rStyle w:val="Hyperlink"/>
                </w:rPr>
                <w:t>W</w:t>
              </w:r>
              <w:r w:rsidRPr="009C2B2C">
                <w:rPr>
                  <w:rStyle w:val="Hyperlink"/>
                </w:rPr>
                <w:t>e</w:t>
              </w:r>
              <w:r w:rsidRPr="009C2B2C">
                <w:rPr>
                  <w:rStyle w:val="Hyperlink"/>
                </w:rPr>
                <w:t xml:space="preserve">t </w:t>
              </w:r>
              <w:r w:rsidRPr="009C2B2C">
                <w:rPr>
                  <w:rStyle w:val="Hyperlink"/>
                </w:rPr>
                <w:t>s</w:t>
              </w:r>
              <w:r w:rsidRPr="009C2B2C">
                <w:rPr>
                  <w:rStyle w:val="Hyperlink"/>
                </w:rPr>
                <w:t>w</w:t>
              </w:r>
              <w:r w:rsidRPr="009C2B2C">
                <w:rPr>
                  <w:rStyle w:val="Hyperlink"/>
                </w:rPr>
                <w:t>ale</w:t>
              </w:r>
            </w:hyperlink>
          </w:p>
        </w:tc>
        <w:tc>
          <w:tcPr>
            <w:tcW w:w="2304" w:type="dxa"/>
            <w:vAlign w:val="center"/>
          </w:tcPr>
          <w:p w:rsidR="009C2B2C" w:rsidRDefault="009C2B2C" w:rsidP="00E02630">
            <w:pPr>
              <w:rPr>
                <w:b/>
                <w:noProof/>
              </w:rPr>
            </w:pPr>
            <w:r>
              <w:rPr>
                <w:b/>
                <w:noProof/>
              </w:rPr>
              <w:drawing>
                <wp:inline distT="0" distB="0" distL="0" distR="0" wp14:anchorId="6B68F8D0" wp14:editId="351E233F">
                  <wp:extent cx="839419" cy="548640"/>
                  <wp:effectExtent l="0" t="0" r="0" b="3810"/>
                  <wp:docPr id="2071" name="Picture 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39419" cy="548640"/>
                          </a:xfrm>
                          <a:prstGeom prst="rect">
                            <a:avLst/>
                          </a:prstGeom>
                          <a:noFill/>
                          <a:ln>
                            <a:noFill/>
                          </a:ln>
                        </pic:spPr>
                      </pic:pic>
                    </a:graphicData>
                  </a:graphic>
                </wp:inline>
              </w:drawing>
            </w:r>
          </w:p>
        </w:tc>
      </w:tr>
      <w:tr w:rsidR="009C2B2C" w:rsidTr="00E02630">
        <w:trPr>
          <w:trHeight w:val="1008"/>
          <w:jc w:val="center"/>
        </w:trPr>
        <w:tc>
          <w:tcPr>
            <w:tcW w:w="2304" w:type="dxa"/>
            <w:vAlign w:val="center"/>
          </w:tcPr>
          <w:p w:rsidR="009C2B2C" w:rsidRPr="001A3D0F" w:rsidRDefault="009C2B2C" w:rsidP="00E02630">
            <w:hyperlink r:id="rId28" w:history="1">
              <w:r w:rsidRPr="009C2B2C">
                <w:rPr>
                  <w:rStyle w:val="Hyperlink"/>
                </w:rPr>
                <w:t>Infiltr</w:t>
              </w:r>
              <w:r w:rsidRPr="009C2B2C">
                <w:rPr>
                  <w:rStyle w:val="Hyperlink"/>
                </w:rPr>
                <w:t>a</w:t>
              </w:r>
              <w:r w:rsidRPr="009C2B2C">
                <w:rPr>
                  <w:rStyle w:val="Hyperlink"/>
                </w:rPr>
                <w:t>tion basin/ Underground infiltration</w:t>
              </w:r>
            </w:hyperlink>
          </w:p>
        </w:tc>
        <w:tc>
          <w:tcPr>
            <w:tcW w:w="2304" w:type="dxa"/>
            <w:vAlign w:val="center"/>
          </w:tcPr>
          <w:p w:rsidR="009C2B2C" w:rsidRDefault="009C2B2C" w:rsidP="00E02630">
            <w:pPr>
              <w:rPr>
                <w:b/>
              </w:rPr>
            </w:pPr>
            <w:r>
              <w:rPr>
                <w:b/>
                <w:noProof/>
              </w:rPr>
              <w:drawing>
                <wp:inline distT="0" distB="0" distL="0" distR="0" wp14:anchorId="603B0013" wp14:editId="527ED116">
                  <wp:extent cx="844906" cy="54864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b="15566"/>
                          <a:stretch/>
                        </pic:blipFill>
                        <pic:spPr bwMode="auto">
                          <a:xfrm>
                            <a:off x="0" y="0"/>
                            <a:ext cx="844906" cy="5486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04" w:type="dxa"/>
            <w:vAlign w:val="center"/>
          </w:tcPr>
          <w:p w:rsidR="009C2B2C" w:rsidRPr="001A3D0F" w:rsidRDefault="009C2B2C" w:rsidP="00E02630">
            <w:hyperlink r:id="rId30" w:history="1">
              <w:r w:rsidRPr="009C2B2C">
                <w:rPr>
                  <w:rStyle w:val="Hyperlink"/>
                </w:rPr>
                <w:t>Harvest and re-use / Ciste</w:t>
              </w:r>
              <w:r w:rsidRPr="009C2B2C">
                <w:rPr>
                  <w:rStyle w:val="Hyperlink"/>
                </w:rPr>
                <w:t>r</w:t>
              </w:r>
              <w:r w:rsidRPr="009C2B2C">
                <w:rPr>
                  <w:rStyle w:val="Hyperlink"/>
                </w:rPr>
                <w:t>n</w:t>
              </w:r>
            </w:hyperlink>
          </w:p>
        </w:tc>
        <w:tc>
          <w:tcPr>
            <w:tcW w:w="2304" w:type="dxa"/>
            <w:vAlign w:val="center"/>
          </w:tcPr>
          <w:p w:rsidR="009C2B2C" w:rsidRDefault="009C2B2C" w:rsidP="00E02630">
            <w:pPr>
              <w:rPr>
                <w:b/>
                <w:noProof/>
              </w:rPr>
            </w:pPr>
            <w:r>
              <w:rPr>
                <w:b/>
                <w:noProof/>
              </w:rPr>
              <w:drawing>
                <wp:inline distT="0" distB="0" distL="0" distR="0" wp14:anchorId="66282051" wp14:editId="2C6CAFC6">
                  <wp:extent cx="841248" cy="548640"/>
                  <wp:effectExtent l="0" t="0" r="0" b="3810"/>
                  <wp:docPr id="28683" name="Picture 28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41248" cy="548640"/>
                          </a:xfrm>
                          <a:prstGeom prst="rect">
                            <a:avLst/>
                          </a:prstGeom>
                          <a:noFill/>
                        </pic:spPr>
                      </pic:pic>
                    </a:graphicData>
                  </a:graphic>
                </wp:inline>
              </w:drawing>
            </w:r>
          </w:p>
        </w:tc>
      </w:tr>
      <w:tr w:rsidR="009C2B2C" w:rsidTr="00E02630">
        <w:trPr>
          <w:trHeight w:val="1008"/>
          <w:jc w:val="center"/>
        </w:trPr>
        <w:tc>
          <w:tcPr>
            <w:tcW w:w="2304" w:type="dxa"/>
            <w:vAlign w:val="center"/>
          </w:tcPr>
          <w:p w:rsidR="009C2B2C" w:rsidRPr="001A3D0F" w:rsidRDefault="009C2B2C" w:rsidP="00E02630">
            <w:hyperlink r:id="rId32" w:history="1">
              <w:r w:rsidRPr="009C2B2C">
                <w:rPr>
                  <w:rStyle w:val="Hyperlink"/>
                </w:rPr>
                <w:t>Permeab</w:t>
              </w:r>
              <w:r w:rsidRPr="009C2B2C">
                <w:rPr>
                  <w:rStyle w:val="Hyperlink"/>
                </w:rPr>
                <w:t>l</w:t>
              </w:r>
              <w:r w:rsidRPr="009C2B2C">
                <w:rPr>
                  <w:rStyle w:val="Hyperlink"/>
                </w:rPr>
                <w:t>e pavement</w:t>
              </w:r>
            </w:hyperlink>
          </w:p>
        </w:tc>
        <w:tc>
          <w:tcPr>
            <w:tcW w:w="2304" w:type="dxa"/>
            <w:vAlign w:val="center"/>
          </w:tcPr>
          <w:p w:rsidR="009C2B2C" w:rsidRDefault="009C2B2C" w:rsidP="00E02630">
            <w:pPr>
              <w:rPr>
                <w:b/>
              </w:rPr>
            </w:pPr>
            <w:r>
              <w:rPr>
                <w:b/>
                <w:noProof/>
              </w:rPr>
              <w:drawing>
                <wp:inline distT="0" distB="0" distL="0" distR="0" wp14:anchorId="60A00B6E" wp14:editId="76E36641">
                  <wp:extent cx="839419" cy="5486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b="8163"/>
                          <a:stretch/>
                        </pic:blipFill>
                        <pic:spPr bwMode="auto">
                          <a:xfrm>
                            <a:off x="0" y="0"/>
                            <a:ext cx="839419" cy="5486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04" w:type="dxa"/>
            <w:vAlign w:val="center"/>
          </w:tcPr>
          <w:p w:rsidR="009C2B2C" w:rsidRPr="001A3D0F" w:rsidRDefault="00762120" w:rsidP="00E02630">
            <w:hyperlink r:id="rId34" w:history="1">
              <w:r w:rsidR="009C2B2C" w:rsidRPr="00762120">
                <w:rPr>
                  <w:rStyle w:val="Hyperlink"/>
                </w:rPr>
                <w:t>S</w:t>
              </w:r>
              <w:r w:rsidR="009C2B2C" w:rsidRPr="00762120">
                <w:rPr>
                  <w:rStyle w:val="Hyperlink"/>
                </w:rPr>
                <w:t>a</w:t>
              </w:r>
              <w:r w:rsidR="009C2B2C" w:rsidRPr="00762120">
                <w:rPr>
                  <w:rStyle w:val="Hyperlink"/>
                </w:rPr>
                <w:t>n</w:t>
              </w:r>
              <w:r w:rsidR="009C2B2C" w:rsidRPr="00762120">
                <w:rPr>
                  <w:rStyle w:val="Hyperlink"/>
                </w:rPr>
                <w:t>d</w:t>
              </w:r>
              <w:r w:rsidR="009C2B2C" w:rsidRPr="00762120">
                <w:rPr>
                  <w:rStyle w:val="Hyperlink"/>
                </w:rPr>
                <w:t xml:space="preserve"> </w:t>
              </w:r>
              <w:r w:rsidR="009C2B2C" w:rsidRPr="00762120">
                <w:rPr>
                  <w:rStyle w:val="Hyperlink"/>
                </w:rPr>
                <w:t>filter</w:t>
              </w:r>
            </w:hyperlink>
          </w:p>
        </w:tc>
        <w:tc>
          <w:tcPr>
            <w:tcW w:w="2304" w:type="dxa"/>
            <w:vAlign w:val="center"/>
          </w:tcPr>
          <w:p w:rsidR="009C2B2C" w:rsidRDefault="009C2B2C" w:rsidP="00E02630">
            <w:pPr>
              <w:rPr>
                <w:b/>
                <w:noProof/>
              </w:rPr>
            </w:pPr>
            <w:r>
              <w:rPr>
                <w:b/>
                <w:noProof/>
              </w:rPr>
              <w:drawing>
                <wp:inline distT="0" distB="0" distL="0" distR="0" wp14:anchorId="0CD6D004" wp14:editId="27F6DB6F">
                  <wp:extent cx="844906" cy="548640"/>
                  <wp:effectExtent l="0" t="0" r="0" b="3810"/>
                  <wp:docPr id="2072" name="Picture 2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r="11182"/>
                          <a:stretch/>
                        </pic:blipFill>
                        <pic:spPr bwMode="auto">
                          <a:xfrm>
                            <a:off x="0" y="0"/>
                            <a:ext cx="844906" cy="54864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C2B2C" w:rsidTr="00E02630">
        <w:trPr>
          <w:trHeight w:val="1008"/>
          <w:jc w:val="center"/>
        </w:trPr>
        <w:tc>
          <w:tcPr>
            <w:tcW w:w="2304" w:type="dxa"/>
            <w:vAlign w:val="center"/>
          </w:tcPr>
          <w:p w:rsidR="009C2B2C" w:rsidRPr="001A3D0F" w:rsidRDefault="009C2B2C" w:rsidP="00E02630">
            <w:hyperlink r:id="rId36" w:history="1">
              <w:r w:rsidRPr="009C2B2C">
                <w:rPr>
                  <w:rStyle w:val="Hyperlink"/>
                </w:rPr>
                <w:t>Tree trench system/ Box (w/o u</w:t>
              </w:r>
              <w:r w:rsidRPr="009C2B2C">
                <w:rPr>
                  <w:rStyle w:val="Hyperlink"/>
                </w:rPr>
                <w:t>n</w:t>
              </w:r>
              <w:r w:rsidRPr="009C2B2C">
                <w:rPr>
                  <w:rStyle w:val="Hyperlink"/>
                </w:rPr>
                <w:t>derdrain)</w:t>
              </w:r>
            </w:hyperlink>
          </w:p>
        </w:tc>
        <w:tc>
          <w:tcPr>
            <w:tcW w:w="2304" w:type="dxa"/>
            <w:vAlign w:val="center"/>
          </w:tcPr>
          <w:p w:rsidR="009C2B2C" w:rsidRDefault="009C2B2C" w:rsidP="00E02630">
            <w:pPr>
              <w:rPr>
                <w:b/>
              </w:rPr>
            </w:pPr>
            <w:r>
              <w:rPr>
                <w:b/>
                <w:noProof/>
              </w:rPr>
              <w:drawing>
                <wp:inline distT="0" distB="0" distL="0" distR="0" wp14:anchorId="444CEAB8" wp14:editId="55D573ED">
                  <wp:extent cx="841248" cy="548640"/>
                  <wp:effectExtent l="0" t="0" r="0" b="3810"/>
                  <wp:docPr id="28691" name="Picture 2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41248" cy="548640"/>
                          </a:xfrm>
                          <a:prstGeom prst="rect">
                            <a:avLst/>
                          </a:prstGeom>
                          <a:noFill/>
                        </pic:spPr>
                      </pic:pic>
                    </a:graphicData>
                  </a:graphic>
                </wp:inline>
              </w:drawing>
            </w:r>
          </w:p>
        </w:tc>
        <w:tc>
          <w:tcPr>
            <w:tcW w:w="2304" w:type="dxa"/>
            <w:vAlign w:val="center"/>
          </w:tcPr>
          <w:p w:rsidR="009C2B2C" w:rsidRPr="001A3D0F" w:rsidRDefault="009C2B2C" w:rsidP="00E02630">
            <w:hyperlink r:id="rId38" w:history="1">
              <w:r w:rsidRPr="009C2B2C">
                <w:rPr>
                  <w:rStyle w:val="Hyperlink"/>
                </w:rPr>
                <w:t>Constru</w:t>
              </w:r>
              <w:r w:rsidRPr="009C2B2C">
                <w:rPr>
                  <w:rStyle w:val="Hyperlink"/>
                </w:rPr>
                <w:t>c</w:t>
              </w:r>
              <w:r w:rsidRPr="009C2B2C">
                <w:rPr>
                  <w:rStyle w:val="Hyperlink"/>
                </w:rPr>
                <w:t>t</w:t>
              </w:r>
              <w:r w:rsidRPr="009C2B2C">
                <w:rPr>
                  <w:rStyle w:val="Hyperlink"/>
                </w:rPr>
                <w:t>e</w:t>
              </w:r>
              <w:r w:rsidRPr="009C2B2C">
                <w:rPr>
                  <w:rStyle w:val="Hyperlink"/>
                </w:rPr>
                <w:t xml:space="preserve">d </w:t>
              </w:r>
              <w:proofErr w:type="spellStart"/>
              <w:r w:rsidRPr="009C2B2C">
                <w:rPr>
                  <w:rStyle w:val="Hyperlink"/>
                </w:rPr>
                <w:t>stormwater</w:t>
              </w:r>
              <w:proofErr w:type="spellEnd"/>
              <w:r w:rsidRPr="009C2B2C">
                <w:rPr>
                  <w:rStyle w:val="Hyperlink"/>
                </w:rPr>
                <w:t xml:space="preserve"> pond</w:t>
              </w:r>
            </w:hyperlink>
          </w:p>
        </w:tc>
        <w:tc>
          <w:tcPr>
            <w:tcW w:w="2304" w:type="dxa"/>
            <w:vAlign w:val="center"/>
          </w:tcPr>
          <w:p w:rsidR="009C2B2C" w:rsidRDefault="009C2B2C" w:rsidP="00E02630">
            <w:pPr>
              <w:rPr>
                <w:b/>
                <w:noProof/>
              </w:rPr>
            </w:pPr>
            <w:r>
              <w:rPr>
                <w:b/>
                <w:noProof/>
              </w:rPr>
              <w:drawing>
                <wp:inline distT="0" distB="0" distL="0" distR="0" wp14:anchorId="78CD3831" wp14:editId="73F19B9F">
                  <wp:extent cx="839419" cy="548640"/>
                  <wp:effectExtent l="0" t="0" r="0" b="3810"/>
                  <wp:docPr id="2073" name="Picture 2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39419" cy="548640"/>
                          </a:xfrm>
                          <a:prstGeom prst="rect">
                            <a:avLst/>
                          </a:prstGeom>
                          <a:noFill/>
                          <a:ln>
                            <a:noFill/>
                          </a:ln>
                        </pic:spPr>
                      </pic:pic>
                    </a:graphicData>
                  </a:graphic>
                </wp:inline>
              </w:drawing>
            </w:r>
          </w:p>
        </w:tc>
      </w:tr>
      <w:tr w:rsidR="009C2B2C" w:rsidTr="00E02630">
        <w:trPr>
          <w:trHeight w:val="1008"/>
          <w:jc w:val="center"/>
        </w:trPr>
        <w:tc>
          <w:tcPr>
            <w:tcW w:w="2304" w:type="dxa"/>
            <w:vAlign w:val="center"/>
          </w:tcPr>
          <w:p w:rsidR="009C2B2C" w:rsidRPr="001A3D0F" w:rsidRDefault="009C2B2C" w:rsidP="00E02630">
            <w:hyperlink r:id="rId40" w:history="1">
              <w:r w:rsidRPr="009C2B2C">
                <w:rPr>
                  <w:rStyle w:val="Hyperlink"/>
                </w:rPr>
                <w:t>Tree trench s</w:t>
              </w:r>
              <w:r w:rsidRPr="009C2B2C">
                <w:rPr>
                  <w:rStyle w:val="Hyperlink"/>
                </w:rPr>
                <w:t>y</w:t>
              </w:r>
              <w:r w:rsidRPr="009C2B2C">
                <w:rPr>
                  <w:rStyle w:val="Hyperlink"/>
                </w:rPr>
                <w:t>stem/ Box (with underdrain)</w:t>
              </w:r>
            </w:hyperlink>
          </w:p>
        </w:tc>
        <w:tc>
          <w:tcPr>
            <w:tcW w:w="2304" w:type="dxa"/>
            <w:vAlign w:val="center"/>
          </w:tcPr>
          <w:p w:rsidR="009C2B2C" w:rsidRDefault="009C2B2C" w:rsidP="00E02630">
            <w:pPr>
              <w:rPr>
                <w:b/>
              </w:rPr>
            </w:pPr>
            <w:r>
              <w:rPr>
                <w:b/>
                <w:noProof/>
              </w:rPr>
              <w:drawing>
                <wp:inline distT="0" distB="0" distL="0" distR="0" wp14:anchorId="16EC0B4A" wp14:editId="7879D857">
                  <wp:extent cx="841248" cy="548640"/>
                  <wp:effectExtent l="0" t="0" r="0" b="3810"/>
                  <wp:docPr id="28689" name="Picture 28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41248" cy="548640"/>
                          </a:xfrm>
                          <a:prstGeom prst="rect">
                            <a:avLst/>
                          </a:prstGeom>
                          <a:noFill/>
                        </pic:spPr>
                      </pic:pic>
                    </a:graphicData>
                  </a:graphic>
                </wp:inline>
              </w:drawing>
            </w:r>
          </w:p>
        </w:tc>
        <w:tc>
          <w:tcPr>
            <w:tcW w:w="2304" w:type="dxa"/>
            <w:vAlign w:val="center"/>
          </w:tcPr>
          <w:p w:rsidR="009C2B2C" w:rsidRPr="001A3D0F" w:rsidRDefault="009C2B2C" w:rsidP="00E02630">
            <w:hyperlink r:id="rId42" w:history="1">
              <w:r w:rsidRPr="009C2B2C">
                <w:rPr>
                  <w:rStyle w:val="Hyperlink"/>
                </w:rPr>
                <w:t>Const</w:t>
              </w:r>
              <w:r w:rsidRPr="009C2B2C">
                <w:rPr>
                  <w:rStyle w:val="Hyperlink"/>
                </w:rPr>
                <w:t>r</w:t>
              </w:r>
              <w:r w:rsidRPr="009C2B2C">
                <w:rPr>
                  <w:rStyle w:val="Hyperlink"/>
                </w:rPr>
                <w:t>uc</w:t>
              </w:r>
              <w:r w:rsidRPr="009C2B2C">
                <w:rPr>
                  <w:rStyle w:val="Hyperlink"/>
                </w:rPr>
                <w:t>t</w:t>
              </w:r>
              <w:r w:rsidRPr="009C2B2C">
                <w:rPr>
                  <w:rStyle w:val="Hyperlink"/>
                </w:rPr>
                <w:t>e</w:t>
              </w:r>
              <w:r w:rsidRPr="009C2B2C">
                <w:rPr>
                  <w:rStyle w:val="Hyperlink"/>
                </w:rPr>
                <w:t>d w</w:t>
              </w:r>
              <w:r w:rsidRPr="009C2B2C">
                <w:rPr>
                  <w:rStyle w:val="Hyperlink"/>
                </w:rPr>
                <w:t>e</w:t>
              </w:r>
              <w:r w:rsidRPr="009C2B2C">
                <w:rPr>
                  <w:rStyle w:val="Hyperlink"/>
                </w:rPr>
                <w:t>tland</w:t>
              </w:r>
            </w:hyperlink>
          </w:p>
        </w:tc>
        <w:tc>
          <w:tcPr>
            <w:tcW w:w="2304" w:type="dxa"/>
            <w:vAlign w:val="center"/>
          </w:tcPr>
          <w:p w:rsidR="009C2B2C" w:rsidRDefault="009C2B2C" w:rsidP="00E02630">
            <w:pPr>
              <w:rPr>
                <w:b/>
                <w:noProof/>
              </w:rPr>
            </w:pPr>
            <w:r>
              <w:rPr>
                <w:b/>
                <w:noProof/>
              </w:rPr>
              <w:drawing>
                <wp:inline distT="0" distB="0" distL="0" distR="0" wp14:anchorId="756D863A" wp14:editId="05C34C65">
                  <wp:extent cx="841248" cy="548640"/>
                  <wp:effectExtent l="0" t="0" r="0" b="381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41248" cy="548640"/>
                          </a:xfrm>
                          <a:prstGeom prst="rect">
                            <a:avLst/>
                          </a:prstGeom>
                          <a:noFill/>
                          <a:ln>
                            <a:noFill/>
                          </a:ln>
                        </pic:spPr>
                      </pic:pic>
                    </a:graphicData>
                  </a:graphic>
                </wp:inline>
              </w:drawing>
            </w:r>
          </w:p>
        </w:tc>
      </w:tr>
      <w:tr w:rsidR="009C2B2C" w:rsidTr="00E02630">
        <w:trPr>
          <w:trHeight w:val="1008"/>
          <w:jc w:val="center"/>
        </w:trPr>
        <w:tc>
          <w:tcPr>
            <w:tcW w:w="2304" w:type="dxa"/>
            <w:vAlign w:val="center"/>
          </w:tcPr>
          <w:p w:rsidR="009C2B2C" w:rsidRPr="001A3D0F" w:rsidRDefault="009C2B2C" w:rsidP="00E02630">
            <w:hyperlink r:id="rId44" w:history="1">
              <w:r w:rsidRPr="009C2B2C">
                <w:rPr>
                  <w:rStyle w:val="Hyperlink"/>
                </w:rPr>
                <w:t>Swal</w:t>
              </w:r>
              <w:r w:rsidRPr="009C2B2C">
                <w:rPr>
                  <w:rStyle w:val="Hyperlink"/>
                </w:rPr>
                <w:t>e</w:t>
              </w:r>
              <w:r w:rsidRPr="009C2B2C">
                <w:rPr>
                  <w:rStyle w:val="Hyperlink"/>
                </w:rPr>
                <w:t xml:space="preserve"> side slope</w:t>
              </w:r>
            </w:hyperlink>
          </w:p>
        </w:tc>
        <w:tc>
          <w:tcPr>
            <w:tcW w:w="2304" w:type="dxa"/>
            <w:vAlign w:val="center"/>
          </w:tcPr>
          <w:p w:rsidR="009C2B2C" w:rsidRDefault="009C2B2C" w:rsidP="00E02630">
            <w:pPr>
              <w:rPr>
                <w:b/>
                <w:noProof/>
              </w:rPr>
            </w:pPr>
            <w:r>
              <w:rPr>
                <w:b/>
                <w:noProof/>
              </w:rPr>
              <w:drawing>
                <wp:inline distT="0" distB="0" distL="0" distR="0" wp14:anchorId="305672C5" wp14:editId="7F7DAC41">
                  <wp:extent cx="839419" cy="5486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39419" cy="548640"/>
                          </a:xfrm>
                          <a:prstGeom prst="rect">
                            <a:avLst/>
                          </a:prstGeom>
                          <a:noFill/>
                          <a:ln>
                            <a:noFill/>
                          </a:ln>
                        </pic:spPr>
                      </pic:pic>
                    </a:graphicData>
                  </a:graphic>
                </wp:inline>
              </w:drawing>
            </w:r>
          </w:p>
        </w:tc>
        <w:tc>
          <w:tcPr>
            <w:tcW w:w="2304" w:type="dxa"/>
            <w:vAlign w:val="center"/>
          </w:tcPr>
          <w:p w:rsidR="009C2B2C" w:rsidRPr="001A3D0F" w:rsidRDefault="009C2B2C" w:rsidP="00E02630">
            <w:hyperlink r:id="rId46" w:history="1">
              <w:r w:rsidRPr="009C2B2C">
                <w:rPr>
                  <w:rStyle w:val="Hyperlink"/>
                </w:rPr>
                <w:t>Other (</w:t>
              </w:r>
              <w:r w:rsidRPr="009C2B2C">
                <w:rPr>
                  <w:rStyle w:val="Hyperlink"/>
                </w:rPr>
                <w:t>U</w:t>
              </w:r>
              <w:r w:rsidRPr="009C2B2C">
                <w:rPr>
                  <w:rStyle w:val="Hyperlink"/>
                </w:rPr>
                <w:t>s</w:t>
              </w:r>
              <w:r w:rsidRPr="009C2B2C">
                <w:rPr>
                  <w:rStyle w:val="Hyperlink"/>
                </w:rPr>
                <w:t>e</w:t>
              </w:r>
              <w:r w:rsidRPr="009C2B2C">
                <w:rPr>
                  <w:rStyle w:val="Hyperlink"/>
                </w:rPr>
                <w:t>r Defined Reductions)</w:t>
              </w:r>
            </w:hyperlink>
          </w:p>
        </w:tc>
        <w:tc>
          <w:tcPr>
            <w:tcW w:w="2304" w:type="dxa"/>
            <w:vAlign w:val="center"/>
          </w:tcPr>
          <w:p w:rsidR="009C2B2C" w:rsidRDefault="009C2B2C" w:rsidP="00E02630">
            <w:pPr>
              <w:rPr>
                <w:b/>
                <w:noProof/>
              </w:rPr>
            </w:pPr>
            <w:r>
              <w:rPr>
                <w:b/>
                <w:noProof/>
              </w:rPr>
              <w:drawing>
                <wp:inline distT="0" distB="0" distL="0" distR="0" wp14:anchorId="13463EC4" wp14:editId="08E29024">
                  <wp:extent cx="839419" cy="548640"/>
                  <wp:effectExtent l="0" t="0" r="0" b="381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47" cstate="print">
                            <a:extLst>
                              <a:ext uri="{28A0092B-C50C-407E-A947-70E740481C1C}">
                                <a14:useLocalDpi xmlns:a14="http://schemas.microsoft.com/office/drawing/2010/main" val="0"/>
                              </a:ext>
                            </a:extLst>
                          </a:blip>
                          <a:srcRect l="13386" t="2232" r="13911" b="16964"/>
                          <a:stretch/>
                        </pic:blipFill>
                        <pic:spPr bwMode="auto">
                          <a:xfrm>
                            <a:off x="0" y="0"/>
                            <a:ext cx="839419" cy="54864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9E0B07" w:rsidRDefault="009E0B07" w:rsidP="008C1560">
      <w:pPr>
        <w:pStyle w:val="Heading3"/>
      </w:pPr>
    </w:p>
    <w:p w:rsidR="00A05215" w:rsidRPr="00A05215" w:rsidRDefault="004665F0" w:rsidP="00A05215">
      <w:r>
        <w:t xml:space="preserve">Pollutant removal rates are calculator for each individual BMP and for each pollutant (TSS, dissolved </w:t>
      </w:r>
      <w:r w:rsidR="00762120">
        <w:t>phosphorus</w:t>
      </w:r>
      <w:r>
        <w:t xml:space="preserve"> and particulate phosphorus).  The percent annual total pollutant removal rate (</w:t>
      </w:r>
      <m:oMath>
        <m:r>
          <w:rPr>
            <w:rFonts w:ascii="Cambria Math" w:hAnsi="Cambria Math"/>
          </w:rPr>
          <m:t>%P</m:t>
        </m:r>
        <m:sSub>
          <m:sSubPr>
            <m:ctrlPr>
              <w:rPr>
                <w:rFonts w:ascii="Cambria Math" w:hAnsi="Cambria Math"/>
                <w:i/>
              </w:rPr>
            </m:ctrlPr>
          </m:sSubPr>
          <m:e>
            <m:r>
              <w:rPr>
                <w:rFonts w:ascii="Cambria Math" w:hAnsi="Cambria Math"/>
              </w:rPr>
              <m:t>R</m:t>
            </m:r>
          </m:e>
          <m:sub>
            <m:r>
              <w:rPr>
                <w:rFonts w:ascii="Cambria Math" w:hAnsi="Cambria Math"/>
              </w:rPr>
              <m:t>tot</m:t>
            </m:r>
          </m:sub>
        </m:sSub>
      </m:oMath>
      <w:r>
        <w:rPr>
          <w:rFonts w:eastAsiaTheme="minorEastAsia"/>
        </w:rPr>
        <w:t>) is calculated using the following:</w:t>
      </w:r>
    </w:p>
    <w:p w:rsidR="00320372" w:rsidRPr="004665F0" w:rsidRDefault="004665F0" w:rsidP="00320372">
      <w:pPr>
        <w:rPr>
          <w:rFonts w:eastAsiaTheme="minorEastAsia"/>
        </w:rPr>
      </w:pPr>
      <m:oMathPara>
        <m:oMath>
          <m:r>
            <w:rPr>
              <w:rFonts w:ascii="Cambria Math" w:hAnsi="Cambria Math"/>
            </w:rPr>
            <m:t>%P</m:t>
          </m:r>
          <m:sSub>
            <m:sSubPr>
              <m:ctrlPr>
                <w:rPr>
                  <w:rFonts w:ascii="Cambria Math" w:hAnsi="Cambria Math"/>
                  <w:i/>
                </w:rPr>
              </m:ctrlPr>
            </m:sSubPr>
            <m:e>
              <m:r>
                <w:rPr>
                  <w:rFonts w:ascii="Cambria Math" w:hAnsi="Cambria Math"/>
                </w:rPr>
                <m:t>R</m:t>
              </m:r>
            </m:e>
            <m:sub>
              <m:r>
                <w:rPr>
                  <w:rFonts w:ascii="Cambria Math" w:hAnsi="Cambria Math"/>
                </w:rPr>
                <m:t>tot</m:t>
              </m:r>
            </m:sub>
          </m:sSub>
          <m:r>
            <w:rPr>
              <w:rFonts w:ascii="Cambria Math" w:hAnsi="Cambria Math"/>
            </w:rPr>
            <m:t>=%RVR*%P</m:t>
          </m:r>
          <m:sSub>
            <m:sSubPr>
              <m:ctrlPr>
                <w:rPr>
                  <w:rFonts w:ascii="Cambria Math" w:hAnsi="Cambria Math"/>
                  <w:i/>
                </w:rPr>
              </m:ctrlPr>
            </m:sSubPr>
            <m:e>
              <m:r>
                <w:rPr>
                  <w:rFonts w:ascii="Cambria Math" w:hAnsi="Cambria Math"/>
                </w:rPr>
                <m:t>R</m:t>
              </m:r>
            </m:e>
            <m:sub>
              <m:r>
                <w:rPr>
                  <w:rFonts w:ascii="Cambria Math" w:hAnsi="Cambria Math"/>
                </w:rPr>
                <m:t>Ret</m:t>
              </m:r>
            </m:sub>
          </m:sSub>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r>
                    <w:rPr>
                      <w:rFonts w:ascii="Cambria Math" w:hAnsi="Cambria Math"/>
                    </w:rPr>
                    <m:t>100%-%RVR</m:t>
                  </m:r>
                </m:e>
              </m:d>
              <m:r>
                <w:rPr>
                  <w:rFonts w:ascii="Cambria Math" w:hAnsi="Cambria Math"/>
                </w:rPr>
                <m:t>*%P</m:t>
              </m:r>
              <m:sSub>
                <m:sSubPr>
                  <m:ctrlPr>
                    <w:rPr>
                      <w:rFonts w:ascii="Cambria Math" w:hAnsi="Cambria Math"/>
                      <w:i/>
                    </w:rPr>
                  </m:ctrlPr>
                </m:sSubPr>
                <m:e>
                  <m:r>
                    <w:rPr>
                      <w:rFonts w:ascii="Cambria Math" w:hAnsi="Cambria Math"/>
                    </w:rPr>
                    <m:t>R</m:t>
                  </m:r>
                </m:e>
                <m:sub>
                  <m:r>
                    <w:rPr>
                      <w:rFonts w:ascii="Cambria Math" w:hAnsi="Cambria Math"/>
                    </w:rPr>
                    <m:t>over</m:t>
                  </m:r>
                </m:sub>
              </m:sSub>
            </m:e>
          </m:d>
        </m:oMath>
      </m:oMathPara>
    </w:p>
    <w:p w:rsidR="004665F0" w:rsidRDefault="004665F0" w:rsidP="00331A7F">
      <w:pPr>
        <w:spacing w:after="0"/>
        <w:rPr>
          <w:rFonts w:eastAsiaTheme="minorEastAsia"/>
        </w:rPr>
      </w:pPr>
      <w:r>
        <w:rPr>
          <w:rFonts w:eastAsiaTheme="minorEastAsia"/>
        </w:rPr>
        <w:t>Where:</w:t>
      </w:r>
    </w:p>
    <w:p w:rsidR="004665F0" w:rsidRDefault="004665F0" w:rsidP="00331A7F">
      <w:pPr>
        <w:spacing w:after="0"/>
        <w:ind w:left="540"/>
        <w:rPr>
          <w:rFonts w:eastAsiaTheme="minorEastAsia"/>
        </w:rPr>
      </w:pPr>
      <m:oMath>
        <m:r>
          <w:rPr>
            <w:rFonts w:ascii="Cambria Math" w:hAnsi="Cambria Math"/>
          </w:rPr>
          <m:t>%RVR</m:t>
        </m:r>
      </m:oMath>
      <w:r>
        <w:rPr>
          <w:rFonts w:eastAsiaTheme="minorEastAsia"/>
        </w:rPr>
        <w:t xml:space="preserve"> is the percent annual runoff volume retained;</w:t>
      </w:r>
    </w:p>
    <w:p w:rsidR="004665F0" w:rsidRDefault="004665F0" w:rsidP="00331A7F">
      <w:pPr>
        <w:spacing w:after="0"/>
        <w:ind w:left="540"/>
        <w:rPr>
          <w:rFonts w:eastAsiaTheme="minorEastAsia"/>
        </w:rPr>
      </w:pPr>
      <m:oMath>
        <m:r>
          <w:rPr>
            <w:rFonts w:ascii="Cambria Math" w:hAnsi="Cambria Math"/>
          </w:rPr>
          <m:t>%P</m:t>
        </m:r>
        <m:sSub>
          <m:sSubPr>
            <m:ctrlPr>
              <w:rPr>
                <w:rFonts w:ascii="Cambria Math" w:hAnsi="Cambria Math"/>
                <w:i/>
              </w:rPr>
            </m:ctrlPr>
          </m:sSubPr>
          <m:e>
            <m:r>
              <w:rPr>
                <w:rFonts w:ascii="Cambria Math" w:hAnsi="Cambria Math"/>
              </w:rPr>
              <m:t>R</m:t>
            </m:r>
          </m:e>
          <m:sub>
            <m:r>
              <w:rPr>
                <w:rFonts w:ascii="Cambria Math" w:hAnsi="Cambria Math"/>
              </w:rPr>
              <m:t>Ret</m:t>
            </m:r>
          </m:sub>
        </m:sSub>
      </m:oMath>
      <w:r>
        <w:rPr>
          <w:rFonts w:eastAsiaTheme="minorEastAsia"/>
        </w:rPr>
        <w:t xml:space="preserve"> is the percent annual pollutant removal rate applied to the annual water volume retained (</w:t>
      </w:r>
      <m:oMath>
        <m:r>
          <w:rPr>
            <w:rFonts w:ascii="Cambria Math" w:hAnsi="Cambria Math"/>
          </w:rPr>
          <m:t>%RVR)</m:t>
        </m:r>
      </m:oMath>
      <w:r>
        <w:rPr>
          <w:rFonts w:eastAsiaTheme="minorEastAsia"/>
        </w:rPr>
        <w:t xml:space="preserve"> by the BMP; and</w:t>
      </w:r>
    </w:p>
    <w:p w:rsidR="004665F0" w:rsidRDefault="004665F0" w:rsidP="00331A7F">
      <w:pPr>
        <w:spacing w:after="0"/>
        <w:ind w:left="540"/>
        <w:rPr>
          <w:rFonts w:eastAsiaTheme="minorEastAsia"/>
        </w:rPr>
      </w:pPr>
      <m:oMath>
        <m:r>
          <w:rPr>
            <w:rFonts w:ascii="Cambria Math" w:hAnsi="Cambria Math"/>
          </w:rPr>
          <w:lastRenderedPageBreak/>
          <m:t>%P</m:t>
        </m:r>
        <m:sSub>
          <m:sSubPr>
            <m:ctrlPr>
              <w:rPr>
                <w:rFonts w:ascii="Cambria Math" w:hAnsi="Cambria Math"/>
                <w:i/>
              </w:rPr>
            </m:ctrlPr>
          </m:sSubPr>
          <m:e>
            <m:r>
              <w:rPr>
                <w:rFonts w:ascii="Cambria Math" w:hAnsi="Cambria Math"/>
              </w:rPr>
              <m:t>R</m:t>
            </m:r>
          </m:e>
          <m:sub>
            <m:r>
              <w:rPr>
                <w:rFonts w:ascii="Cambria Math" w:hAnsi="Cambria Math"/>
              </w:rPr>
              <m:t>over</m:t>
            </m:r>
          </m:sub>
        </m:sSub>
      </m:oMath>
      <w:r>
        <w:rPr>
          <w:rFonts w:eastAsiaTheme="minorEastAsia"/>
        </w:rPr>
        <w:t xml:space="preserve"> </w:t>
      </w:r>
      <w:proofErr w:type="gramStart"/>
      <w:r>
        <w:rPr>
          <w:rFonts w:eastAsiaTheme="minorEastAsia"/>
        </w:rPr>
        <w:t>is</w:t>
      </w:r>
      <w:proofErr w:type="gramEnd"/>
      <w:r>
        <w:rPr>
          <w:rFonts w:eastAsiaTheme="minorEastAsia"/>
        </w:rPr>
        <w:t xml:space="preserve"> the percent annual pollutant removal rate applied to the annual water volume routed downstream.</w:t>
      </w:r>
    </w:p>
    <w:p w:rsidR="00331A7F" w:rsidRDefault="00331A7F" w:rsidP="00331A7F">
      <w:pPr>
        <w:spacing w:after="0"/>
        <w:ind w:left="540"/>
        <w:rPr>
          <w:rFonts w:eastAsiaTheme="minorEastAsia"/>
        </w:rPr>
      </w:pPr>
    </w:p>
    <w:p w:rsidR="00CD6994" w:rsidRDefault="00CD6994" w:rsidP="00320372">
      <w:pPr>
        <w:rPr>
          <w:rFonts w:eastAsiaTheme="minorEastAsia"/>
        </w:rPr>
      </w:pPr>
      <w:r>
        <w:rPr>
          <w:rFonts w:eastAsiaTheme="minorEastAsia"/>
        </w:rPr>
        <w:t>The values used in the above calculation are defined for each BMP in the BMP specific links above.</w:t>
      </w:r>
    </w:p>
    <w:p w:rsidR="00945052" w:rsidRDefault="00945052" w:rsidP="008C1560">
      <w:pPr>
        <w:pStyle w:val="Heading3"/>
      </w:pPr>
    </w:p>
    <w:p w:rsidR="00121419" w:rsidRDefault="008C1560" w:rsidP="008C1560">
      <w:pPr>
        <w:pStyle w:val="Heading3"/>
      </w:pPr>
      <w:r w:rsidRPr="008C1560">
        <w:t>Report Results</w:t>
      </w:r>
    </w:p>
    <w:p w:rsidR="00945052" w:rsidRPr="009C2B2C" w:rsidRDefault="00945052" w:rsidP="009C2B2C">
      <w:pPr>
        <w:rPr>
          <w:szCs w:val="24"/>
        </w:rPr>
      </w:pPr>
      <w:r>
        <w:rPr>
          <w:lang w:val="en"/>
        </w:rPr>
        <w:t xml:space="preserve">The final objective of the calculator is to report results to the users.  Results are reported in the “Results” tab for the entire site as well as by individual BMPs. </w:t>
      </w:r>
      <w:r>
        <w:rPr>
          <w:szCs w:val="24"/>
        </w:rPr>
        <w:t xml:space="preserve">The results tab summarizes the volume and pollutant reduction results based on the BMP alignment and design parameters. There are five main sections of the results section: Project Information, Site Information, Summary Information, BMP Summary, and BMP Schematic.  </w:t>
      </w:r>
      <w:r w:rsidR="009C2B2C">
        <w:rPr>
          <w:szCs w:val="24"/>
        </w:rPr>
        <w:t>The Summary Information section of the</w:t>
      </w:r>
      <w:r w:rsidR="009C2B2C" w:rsidRPr="009C2B2C">
        <w:rPr>
          <w:szCs w:val="24"/>
        </w:rPr>
        <w:t xml:space="preserve"> Results</w:t>
      </w:r>
      <w:r w:rsidR="009C2B2C">
        <w:rPr>
          <w:szCs w:val="24"/>
        </w:rPr>
        <w:t xml:space="preserve"> tab summarizes both the performance goal requirement as well as the annual volume and pollutant load reductions achieved by the modeled system. All five parameters (volume towards the performance goal, annual volume, dissolved P, particulate P, and TSS) are reported in terms of the amount (volume or load) created by the entire site, the amount removed by the BMPs added to the site and finally a percent removal for the entire site.</w:t>
      </w:r>
      <w:r w:rsidR="009C2B2C">
        <w:rPr>
          <w:szCs w:val="24"/>
        </w:rPr>
        <w:t xml:space="preserve"> </w:t>
      </w:r>
      <w:r>
        <w:rPr>
          <w:szCs w:val="24"/>
        </w:rPr>
        <w:t xml:space="preserve">The BMP summary sections details volume and pollutant load reductions for each individual BMP.  </w:t>
      </w:r>
    </w:p>
    <w:p w:rsidR="009E0B07" w:rsidRPr="009E0B07" w:rsidRDefault="009E0B07" w:rsidP="009E0B07"/>
    <w:p w:rsidR="0047189D" w:rsidRDefault="009C2B2C" w:rsidP="0047189D">
      <w:pPr>
        <w:keepNext/>
      </w:pPr>
      <w:r>
        <w:rPr>
          <w:noProof/>
        </w:rPr>
        <w:lastRenderedPageBreak/>
        <w:drawing>
          <wp:inline distT="0" distB="0" distL="0" distR="0" wp14:anchorId="0EBDBA51" wp14:editId="1FA16682">
            <wp:extent cx="5943600" cy="4457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5943600" cy="4457700"/>
                    </a:xfrm>
                    <a:prstGeom prst="rect">
                      <a:avLst/>
                    </a:prstGeom>
                  </pic:spPr>
                </pic:pic>
              </a:graphicData>
            </a:graphic>
          </wp:inline>
        </w:drawing>
      </w:r>
    </w:p>
    <w:p w:rsidR="0047189D" w:rsidRDefault="0047189D" w:rsidP="0047189D">
      <w:pPr>
        <w:pStyle w:val="Caption"/>
        <w:jc w:val="center"/>
        <w:rPr>
          <w:lang w:val="en"/>
        </w:rPr>
      </w:pPr>
      <w:proofErr w:type="gramStart"/>
      <w:r w:rsidRPr="008F0455">
        <w:t>Screen shot from bioretention basin (w/out an underdrain) example.</w:t>
      </w:r>
      <w:proofErr w:type="gramEnd"/>
    </w:p>
    <w:p w:rsidR="003E39F1" w:rsidRDefault="003E39F1" w:rsidP="00121419">
      <w:pPr>
        <w:rPr>
          <w:lang w:val="en"/>
        </w:rPr>
      </w:pPr>
    </w:p>
    <w:p w:rsidR="00EC13E8" w:rsidRDefault="00EC13E8" w:rsidP="003E39F1">
      <w:pPr>
        <w:pStyle w:val="Heading2"/>
        <w:rPr>
          <w:lang w:val="en"/>
        </w:rPr>
      </w:pPr>
    </w:p>
    <w:p w:rsidR="00EC13E8" w:rsidRDefault="00EC13E8" w:rsidP="003E39F1">
      <w:pPr>
        <w:pStyle w:val="Heading2"/>
        <w:rPr>
          <w:lang w:val="en"/>
        </w:rPr>
      </w:pPr>
    </w:p>
    <w:p w:rsidR="00B57E1F" w:rsidRDefault="003E39F1" w:rsidP="003E39F1">
      <w:pPr>
        <w:pStyle w:val="Heading2"/>
        <w:rPr>
          <w:lang w:val="en"/>
        </w:rPr>
      </w:pPr>
      <w:r>
        <w:rPr>
          <w:lang w:val="en"/>
        </w:rPr>
        <w:t>References</w:t>
      </w:r>
    </w:p>
    <w:p w:rsidR="00491C85" w:rsidRPr="00703668" w:rsidRDefault="00491C85" w:rsidP="00703668">
      <w:pPr>
        <w:spacing w:after="120"/>
        <w:ind w:left="360" w:hanging="360"/>
      </w:pPr>
      <w:r w:rsidRPr="00703668">
        <w:t>Center for Watershed Protection &amp; Chesapeake Stormwater Network (CWP &amp; CSN), 2008. Technical Memorandum: The Runoff Reduction Method. April</w:t>
      </w:r>
    </w:p>
    <w:p w:rsidR="00C978C6" w:rsidRPr="00703668" w:rsidRDefault="00C978C6" w:rsidP="00703668">
      <w:pPr>
        <w:spacing w:after="120"/>
        <w:ind w:left="360" w:hanging="360"/>
      </w:pPr>
      <w:r w:rsidRPr="00703668">
        <w:rPr>
          <w:rStyle w:val="authors"/>
        </w:rPr>
        <w:t>Lin, J.P.: Review of Published Export Coefficient and Event Mean Concentration (EMC) Data. Wetlands Regulatory Assistance Program ERDC TN-WRAP-04-3 (September 2004)</w:t>
      </w:r>
    </w:p>
    <w:p w:rsidR="00491C85" w:rsidRPr="00703668" w:rsidRDefault="00767000" w:rsidP="00703668">
      <w:pPr>
        <w:spacing w:after="120"/>
        <w:ind w:left="360" w:hanging="360"/>
      </w:pPr>
      <w:r w:rsidRPr="00703668">
        <w:t>Pitt, R., A. Maestre, R. Morquecho, T. Brown, T. Schueler, K. Cappiella and P. Sturm, 2005. Evaluation of NPDES Phase 1 Municipal Stormwater Monitoring Data. University of Alabama and the Center for Watershed Protection.</w:t>
      </w:r>
    </w:p>
    <w:p w:rsidR="00511BFA" w:rsidRDefault="00A42627" w:rsidP="00970980">
      <w:pPr>
        <w:spacing w:after="120"/>
        <w:ind w:left="360" w:hanging="360"/>
      </w:pPr>
      <w:r w:rsidRPr="00703668">
        <w:rPr>
          <w:rFonts w:cs="Arial"/>
        </w:rPr>
        <w:t xml:space="preserve">Schueler, T. 1987. </w:t>
      </w:r>
      <w:r w:rsidRPr="00703668">
        <w:rPr>
          <w:rStyle w:val="Emphasis"/>
          <w:rFonts w:cs="Arial"/>
        </w:rPr>
        <w:t>Controlling Urban Runoff: A Practical Manual for Planning and Designing Urban Best Management Practices</w:t>
      </w:r>
      <w:r w:rsidRPr="00703668">
        <w:rPr>
          <w:rFonts w:cs="Arial"/>
        </w:rPr>
        <w:t>. MWCOG. Washington, D.C</w:t>
      </w:r>
      <w:r>
        <w:rPr>
          <w:rFonts w:ascii="Arial" w:hAnsi="Arial" w:cs="Arial"/>
          <w:sz w:val="20"/>
          <w:szCs w:val="20"/>
        </w:rPr>
        <w:t>.</w:t>
      </w:r>
    </w:p>
    <w:sectPr w:rsidR="00511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6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32702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F6F1A68"/>
    <w:multiLevelType w:val="hybridMultilevel"/>
    <w:tmpl w:val="0F42B2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9234A1"/>
    <w:multiLevelType w:val="hybridMultilevel"/>
    <w:tmpl w:val="9D8ED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D20263"/>
    <w:multiLevelType w:val="hybridMultilevel"/>
    <w:tmpl w:val="62A4B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6876EE4"/>
    <w:multiLevelType w:val="hybridMultilevel"/>
    <w:tmpl w:val="0F42B2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F30"/>
    <w:rsid w:val="00044520"/>
    <w:rsid w:val="00063A81"/>
    <w:rsid w:val="000C7D36"/>
    <w:rsid w:val="000E505C"/>
    <w:rsid w:val="00121419"/>
    <w:rsid w:val="00126FA1"/>
    <w:rsid w:val="00150EA7"/>
    <w:rsid w:val="001C491F"/>
    <w:rsid w:val="002122F2"/>
    <w:rsid w:val="002A4542"/>
    <w:rsid w:val="002A57EA"/>
    <w:rsid w:val="002C0848"/>
    <w:rsid w:val="002E6D5F"/>
    <w:rsid w:val="00305F36"/>
    <w:rsid w:val="0031392A"/>
    <w:rsid w:val="003201B7"/>
    <w:rsid w:val="00320372"/>
    <w:rsid w:val="00331A7F"/>
    <w:rsid w:val="003551E7"/>
    <w:rsid w:val="00371DC0"/>
    <w:rsid w:val="00373D61"/>
    <w:rsid w:val="003837EB"/>
    <w:rsid w:val="00385558"/>
    <w:rsid w:val="003D650D"/>
    <w:rsid w:val="003D6BAC"/>
    <w:rsid w:val="003E39F1"/>
    <w:rsid w:val="00421AE0"/>
    <w:rsid w:val="004665F0"/>
    <w:rsid w:val="0047189D"/>
    <w:rsid w:val="00491C85"/>
    <w:rsid w:val="004E4494"/>
    <w:rsid w:val="004F1F30"/>
    <w:rsid w:val="005016DF"/>
    <w:rsid w:val="00511BFA"/>
    <w:rsid w:val="00543D28"/>
    <w:rsid w:val="0054795F"/>
    <w:rsid w:val="0059719D"/>
    <w:rsid w:val="005D323E"/>
    <w:rsid w:val="00600240"/>
    <w:rsid w:val="00620AA5"/>
    <w:rsid w:val="006410AE"/>
    <w:rsid w:val="006551AC"/>
    <w:rsid w:val="00667DA6"/>
    <w:rsid w:val="006734C6"/>
    <w:rsid w:val="006C3FAB"/>
    <w:rsid w:val="00703668"/>
    <w:rsid w:val="00712E08"/>
    <w:rsid w:val="0075781D"/>
    <w:rsid w:val="00762120"/>
    <w:rsid w:val="00767000"/>
    <w:rsid w:val="00791DDC"/>
    <w:rsid w:val="007D5382"/>
    <w:rsid w:val="008061FB"/>
    <w:rsid w:val="008368A0"/>
    <w:rsid w:val="008529F2"/>
    <w:rsid w:val="008B4577"/>
    <w:rsid w:val="008C1560"/>
    <w:rsid w:val="008C581D"/>
    <w:rsid w:val="008D184A"/>
    <w:rsid w:val="008E4AAA"/>
    <w:rsid w:val="008E5530"/>
    <w:rsid w:val="0090060A"/>
    <w:rsid w:val="00905FE5"/>
    <w:rsid w:val="00912586"/>
    <w:rsid w:val="00945052"/>
    <w:rsid w:val="00946F26"/>
    <w:rsid w:val="00970980"/>
    <w:rsid w:val="0097295D"/>
    <w:rsid w:val="009C2B2C"/>
    <w:rsid w:val="009E0B07"/>
    <w:rsid w:val="009F4625"/>
    <w:rsid w:val="00A01226"/>
    <w:rsid w:val="00A05215"/>
    <w:rsid w:val="00A336DA"/>
    <w:rsid w:val="00A42627"/>
    <w:rsid w:val="00A743B9"/>
    <w:rsid w:val="00A75E4C"/>
    <w:rsid w:val="00AA35EE"/>
    <w:rsid w:val="00AA4CAC"/>
    <w:rsid w:val="00B000A4"/>
    <w:rsid w:val="00B16832"/>
    <w:rsid w:val="00B178FB"/>
    <w:rsid w:val="00B2291A"/>
    <w:rsid w:val="00B242FD"/>
    <w:rsid w:val="00B30E07"/>
    <w:rsid w:val="00B30F8B"/>
    <w:rsid w:val="00B33A7F"/>
    <w:rsid w:val="00B34E07"/>
    <w:rsid w:val="00B522CF"/>
    <w:rsid w:val="00B57E1F"/>
    <w:rsid w:val="00B96C5F"/>
    <w:rsid w:val="00BB0761"/>
    <w:rsid w:val="00BB5B0D"/>
    <w:rsid w:val="00BE53A3"/>
    <w:rsid w:val="00BE565F"/>
    <w:rsid w:val="00BF0AE0"/>
    <w:rsid w:val="00C20E49"/>
    <w:rsid w:val="00C216D7"/>
    <w:rsid w:val="00C43F30"/>
    <w:rsid w:val="00C532B1"/>
    <w:rsid w:val="00C74B41"/>
    <w:rsid w:val="00C74CDF"/>
    <w:rsid w:val="00C978C6"/>
    <w:rsid w:val="00CA7F36"/>
    <w:rsid w:val="00CD6994"/>
    <w:rsid w:val="00CD7154"/>
    <w:rsid w:val="00CF1CB3"/>
    <w:rsid w:val="00D14912"/>
    <w:rsid w:val="00D21150"/>
    <w:rsid w:val="00DA0645"/>
    <w:rsid w:val="00DF1862"/>
    <w:rsid w:val="00E30EC4"/>
    <w:rsid w:val="00E31BAB"/>
    <w:rsid w:val="00E401ED"/>
    <w:rsid w:val="00E464C0"/>
    <w:rsid w:val="00EC13E8"/>
    <w:rsid w:val="00ED0E24"/>
    <w:rsid w:val="00F14AEF"/>
    <w:rsid w:val="00F326E0"/>
    <w:rsid w:val="00F34E2C"/>
    <w:rsid w:val="00F41F77"/>
    <w:rsid w:val="00F55D88"/>
    <w:rsid w:val="00F56596"/>
    <w:rsid w:val="00FC6FC0"/>
    <w:rsid w:val="00FD4768"/>
    <w:rsid w:val="00FF3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1B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1B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061F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2141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F30"/>
    <w:pPr>
      <w:ind w:left="720"/>
      <w:contextualSpacing/>
    </w:pPr>
  </w:style>
  <w:style w:type="character" w:customStyle="1" w:styleId="Heading1Char">
    <w:name w:val="Heading 1 Char"/>
    <w:basedOn w:val="DefaultParagraphFont"/>
    <w:link w:val="Heading1"/>
    <w:uiPriority w:val="9"/>
    <w:rsid w:val="00511BF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11BF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061FB"/>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E40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1ED"/>
    <w:rPr>
      <w:rFonts w:ascii="Tahoma" w:hAnsi="Tahoma" w:cs="Tahoma"/>
      <w:sz w:val="16"/>
      <w:szCs w:val="16"/>
    </w:rPr>
  </w:style>
  <w:style w:type="character" w:customStyle="1" w:styleId="Heading4Char">
    <w:name w:val="Heading 4 Char"/>
    <w:basedOn w:val="DefaultParagraphFont"/>
    <w:link w:val="Heading4"/>
    <w:uiPriority w:val="9"/>
    <w:rsid w:val="00121419"/>
    <w:rPr>
      <w:rFonts w:asciiTheme="majorHAnsi" w:eastAsiaTheme="majorEastAsia" w:hAnsiTheme="majorHAnsi" w:cstheme="majorBidi"/>
      <w:b/>
      <w:bCs/>
      <w:i/>
      <w:iCs/>
      <w:color w:val="4F81BD" w:themeColor="accent1"/>
    </w:rPr>
  </w:style>
  <w:style w:type="character" w:styleId="PlaceholderText">
    <w:name w:val="Placeholder Text"/>
    <w:basedOn w:val="DefaultParagraphFont"/>
    <w:uiPriority w:val="99"/>
    <w:semiHidden/>
    <w:rsid w:val="00A75E4C"/>
    <w:rPr>
      <w:color w:val="808080"/>
    </w:rPr>
  </w:style>
  <w:style w:type="character" w:styleId="Emphasis">
    <w:name w:val="Emphasis"/>
    <w:basedOn w:val="DefaultParagraphFont"/>
    <w:uiPriority w:val="20"/>
    <w:qFormat/>
    <w:rsid w:val="00A75E4C"/>
    <w:rPr>
      <w:i/>
      <w:iCs/>
    </w:rPr>
  </w:style>
  <w:style w:type="character" w:customStyle="1" w:styleId="authors">
    <w:name w:val="authors"/>
    <w:basedOn w:val="DefaultParagraphFont"/>
    <w:rsid w:val="00C978C6"/>
  </w:style>
  <w:style w:type="character" w:styleId="Hyperlink">
    <w:name w:val="Hyperlink"/>
    <w:basedOn w:val="DefaultParagraphFont"/>
    <w:uiPriority w:val="99"/>
    <w:unhideWhenUsed/>
    <w:rsid w:val="00712E08"/>
    <w:rPr>
      <w:color w:val="0000FF" w:themeColor="hyperlink"/>
      <w:u w:val="single"/>
    </w:rPr>
  </w:style>
  <w:style w:type="character" w:styleId="FollowedHyperlink">
    <w:name w:val="FollowedHyperlink"/>
    <w:basedOn w:val="DefaultParagraphFont"/>
    <w:uiPriority w:val="99"/>
    <w:semiHidden/>
    <w:unhideWhenUsed/>
    <w:rsid w:val="00712E08"/>
    <w:rPr>
      <w:color w:val="800080" w:themeColor="followedHyperlink"/>
      <w:u w:val="single"/>
    </w:rPr>
  </w:style>
  <w:style w:type="paragraph" w:styleId="Caption">
    <w:name w:val="caption"/>
    <w:basedOn w:val="Normal"/>
    <w:next w:val="Normal"/>
    <w:uiPriority w:val="35"/>
    <w:unhideWhenUsed/>
    <w:qFormat/>
    <w:rsid w:val="0047189D"/>
    <w:pPr>
      <w:spacing w:line="240" w:lineRule="auto"/>
    </w:pPr>
    <w:rPr>
      <w:b/>
      <w:bCs/>
      <w:color w:val="4F81BD" w:themeColor="accent1"/>
      <w:sz w:val="18"/>
      <w:szCs w:val="18"/>
    </w:rPr>
  </w:style>
  <w:style w:type="table" w:styleId="TableGrid">
    <w:name w:val="Table Grid"/>
    <w:basedOn w:val="TableNormal"/>
    <w:rsid w:val="009C2B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1B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1B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061F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2141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F30"/>
    <w:pPr>
      <w:ind w:left="720"/>
      <w:contextualSpacing/>
    </w:pPr>
  </w:style>
  <w:style w:type="character" w:customStyle="1" w:styleId="Heading1Char">
    <w:name w:val="Heading 1 Char"/>
    <w:basedOn w:val="DefaultParagraphFont"/>
    <w:link w:val="Heading1"/>
    <w:uiPriority w:val="9"/>
    <w:rsid w:val="00511BF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11BF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061FB"/>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E40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1ED"/>
    <w:rPr>
      <w:rFonts w:ascii="Tahoma" w:hAnsi="Tahoma" w:cs="Tahoma"/>
      <w:sz w:val="16"/>
      <w:szCs w:val="16"/>
    </w:rPr>
  </w:style>
  <w:style w:type="character" w:customStyle="1" w:styleId="Heading4Char">
    <w:name w:val="Heading 4 Char"/>
    <w:basedOn w:val="DefaultParagraphFont"/>
    <w:link w:val="Heading4"/>
    <w:uiPriority w:val="9"/>
    <w:rsid w:val="00121419"/>
    <w:rPr>
      <w:rFonts w:asciiTheme="majorHAnsi" w:eastAsiaTheme="majorEastAsia" w:hAnsiTheme="majorHAnsi" w:cstheme="majorBidi"/>
      <w:b/>
      <w:bCs/>
      <w:i/>
      <w:iCs/>
      <w:color w:val="4F81BD" w:themeColor="accent1"/>
    </w:rPr>
  </w:style>
  <w:style w:type="character" w:styleId="PlaceholderText">
    <w:name w:val="Placeholder Text"/>
    <w:basedOn w:val="DefaultParagraphFont"/>
    <w:uiPriority w:val="99"/>
    <w:semiHidden/>
    <w:rsid w:val="00A75E4C"/>
    <w:rPr>
      <w:color w:val="808080"/>
    </w:rPr>
  </w:style>
  <w:style w:type="character" w:styleId="Emphasis">
    <w:name w:val="Emphasis"/>
    <w:basedOn w:val="DefaultParagraphFont"/>
    <w:uiPriority w:val="20"/>
    <w:qFormat/>
    <w:rsid w:val="00A75E4C"/>
    <w:rPr>
      <w:i/>
      <w:iCs/>
    </w:rPr>
  </w:style>
  <w:style w:type="character" w:customStyle="1" w:styleId="authors">
    <w:name w:val="authors"/>
    <w:basedOn w:val="DefaultParagraphFont"/>
    <w:rsid w:val="00C978C6"/>
  </w:style>
  <w:style w:type="character" w:styleId="Hyperlink">
    <w:name w:val="Hyperlink"/>
    <w:basedOn w:val="DefaultParagraphFont"/>
    <w:uiPriority w:val="99"/>
    <w:unhideWhenUsed/>
    <w:rsid w:val="00712E08"/>
    <w:rPr>
      <w:color w:val="0000FF" w:themeColor="hyperlink"/>
      <w:u w:val="single"/>
    </w:rPr>
  </w:style>
  <w:style w:type="character" w:styleId="FollowedHyperlink">
    <w:name w:val="FollowedHyperlink"/>
    <w:basedOn w:val="DefaultParagraphFont"/>
    <w:uiPriority w:val="99"/>
    <w:semiHidden/>
    <w:unhideWhenUsed/>
    <w:rsid w:val="00712E08"/>
    <w:rPr>
      <w:color w:val="800080" w:themeColor="followedHyperlink"/>
      <w:u w:val="single"/>
    </w:rPr>
  </w:style>
  <w:style w:type="paragraph" w:styleId="Caption">
    <w:name w:val="caption"/>
    <w:basedOn w:val="Normal"/>
    <w:next w:val="Normal"/>
    <w:uiPriority w:val="35"/>
    <w:unhideWhenUsed/>
    <w:qFormat/>
    <w:rsid w:val="0047189D"/>
    <w:pPr>
      <w:spacing w:line="240" w:lineRule="auto"/>
    </w:pPr>
    <w:rPr>
      <w:b/>
      <w:bCs/>
      <w:color w:val="4F81BD" w:themeColor="accent1"/>
      <w:sz w:val="18"/>
      <w:szCs w:val="18"/>
    </w:rPr>
  </w:style>
  <w:style w:type="table" w:styleId="TableGrid">
    <w:name w:val="Table Grid"/>
    <w:basedOn w:val="TableNormal"/>
    <w:rsid w:val="009C2B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2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ogle.com/url?sa=t&amp;rct=j&amp;q=&amp;esrc=s&amp;source=web&amp;cd=1&amp;ved=0CCgQFjAA&amp;url=http%3A%2F%2Fwww.dtic.mil%2Fcgi-bin%2FGetTRDoc%3FAD%3DADA430436&amp;ei=zh8jU6yVBujcyQHIvYCICg&amp;usg=AFQjCNFTeVQbSqCLn6Pjtyy4B4cLt5uidQ&amp;sig2=qdXf6L37LZlLhjcgMo40hA&amp;cad=rja" TargetMode="External"/><Relationship Id="rId18" Type="http://schemas.openxmlformats.org/officeDocument/2006/relationships/hyperlink" Target="http://stormwater.pca.state.mn.us/index.php/Requirements,_recommendations_and_information_for_using_swale_without_an_underdrain_as_a_BMP_in_the_MIDS_calculator" TargetMode="External"/><Relationship Id="rId26" Type="http://schemas.openxmlformats.org/officeDocument/2006/relationships/hyperlink" Target="http://stormwater.pca.state.mn.us/index.php/Requirements,_recommendations_and_information_for_using_wet_swale_as_a_BMP_in_the_MIDS_calculator" TargetMode="External"/><Relationship Id="rId39"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hyperlink" Target="http://stormwater.pca.state.mn.us/index.php/Requirements,_recommendations_and_information_for_using_sand_filter_as_a_BMP_in_the_MIDS_calculator" TargetMode="External"/><Relationship Id="rId42" Type="http://schemas.openxmlformats.org/officeDocument/2006/relationships/hyperlink" Target="http://stormwater.pca.state.mn.us/index.php/Requirements,_recommendations_and_information_for_using_stormwater_wetland_as_a_BMP_in_the_MIDS_calculator" TargetMode="External"/><Relationship Id="rId47" Type="http://schemas.openxmlformats.org/officeDocument/2006/relationships/image" Target="media/image18.emf"/><Relationship Id="rId50" Type="http://schemas.openxmlformats.org/officeDocument/2006/relationships/theme" Target="theme/theme1.xml"/><Relationship Id="rId7" Type="http://schemas.openxmlformats.org/officeDocument/2006/relationships/hyperlink" Target="http://stormwater.pca.state.mn.us/index.php/Performance_goals_for_new_development,_re-development_and_linear_projects" TargetMode="External"/><Relationship Id="rId12" Type="http://schemas.openxmlformats.org/officeDocument/2006/relationships/hyperlink" Target="http://climate.umn.edu/img/normals/precip/precip_norm_annual.htm" TargetMode="Externa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hyperlink" Target="http://stormwater.pca.state.mn.us/index.php/Requirements,_recommendations_and_information_for_using_stormwater_pond_as_a_BMP_in_the_MIDS_calculator" TargetMode="External"/><Relationship Id="rId46" Type="http://schemas.openxmlformats.org/officeDocument/2006/relationships/hyperlink" Target="http://stormwater.pca.state.mn.us/index.php/Requirements,_recommendations_and_information_for_using_Other_as_a_BMP_in_the_MIDS_calculator" TargetMode="External"/><Relationship Id="rId2" Type="http://schemas.openxmlformats.org/officeDocument/2006/relationships/numbering" Target="numbering.xml"/><Relationship Id="rId16" Type="http://schemas.openxmlformats.org/officeDocument/2006/relationships/hyperlink" Target="http://stormwater.pca.state.mn.us/index.php/Requirements,_recommendations_and_information_for_using_green_roofs_as_a_BMP_in_the_MIDS_calculator" TargetMode="External"/><Relationship Id="rId20" Type="http://schemas.openxmlformats.org/officeDocument/2006/relationships/hyperlink" Target="http://stormwater.pca.state.mn.us/index.php/Requirements,_recommendations_and_information_for_using_bioretention_with_no_underdrain_BMPs_in_the_MIDS_calculator" TargetMode="External"/><Relationship Id="rId29" Type="http://schemas.openxmlformats.org/officeDocument/2006/relationships/image" Target="media/image9.emf"/><Relationship Id="rId41"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tormwater.pca.state.mn.us/index.php/Requirements,_recommendations_and_information_for_using_bioretention_with_an_underdrain_BMPs_in_the_MIDS_calculator" TargetMode="External"/><Relationship Id="rId32" Type="http://schemas.openxmlformats.org/officeDocument/2006/relationships/hyperlink" Target="http://stormwater.pca.state.mn.us/index.php/Requirements,_recommendations_and_information_for_using_permeable_pavement_BMPs_in_the_MIDS_calculator" TargetMode="External"/><Relationship Id="rId37" Type="http://schemas.openxmlformats.org/officeDocument/2006/relationships/image" Target="media/image13.jpeg"/><Relationship Id="rId40" Type="http://schemas.openxmlformats.org/officeDocument/2006/relationships/hyperlink" Target="http://stormwater.pca.state.mn.us/index.php/Requirements,_recommendations_and_information_for_using_trees_with_an_underdrain_as_a_BMP_in_the_MIDS_calculator" TargetMode="External"/><Relationship Id="rId45" Type="http://schemas.openxmlformats.org/officeDocument/2006/relationships/image" Target="media/image17.emf"/><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6.emf"/><Relationship Id="rId28" Type="http://schemas.openxmlformats.org/officeDocument/2006/relationships/hyperlink" Target="http://stormwater.pca.state.mn.us/index.php/Requirements,_recommendations_and_information_for_using_infiltration_basin/underground_infiltration_BMPs_in_the_MIDS_calculator" TargetMode="External"/><Relationship Id="rId36" Type="http://schemas.openxmlformats.org/officeDocument/2006/relationships/hyperlink" Target="http://stormwater.pca.state.mn.us/index.php/Requirements,_recommendations_and_information_for_using_trees_as_a_BMP_in_the_MIDS_calculator" TargetMode="External"/><Relationship Id="rId49" Type="http://schemas.openxmlformats.org/officeDocument/2006/relationships/fontTable" Target="fontTable.xml"/><Relationship Id="rId10" Type="http://schemas.openxmlformats.org/officeDocument/2006/relationships/hyperlink" Target="http://stormwater.pca.state.mn.us/index.php/Flexible_treatment_options" TargetMode="External"/><Relationship Id="rId19" Type="http://schemas.openxmlformats.org/officeDocument/2006/relationships/image" Target="media/image4.emf"/><Relationship Id="rId31" Type="http://schemas.openxmlformats.org/officeDocument/2006/relationships/image" Target="media/image10.jpeg"/><Relationship Id="rId44" Type="http://schemas.openxmlformats.org/officeDocument/2006/relationships/hyperlink" Target="http://stormwater.pca.state.mn.us/index.php/Requirements,_recommendations_and_information_for_using_swale_side_slope_as_a_BMP_in_the_MIDS_calculator" TargetMode="External"/><Relationship Id="rId4" Type="http://schemas.microsoft.com/office/2007/relationships/stylesWithEffects" Target="stylesWithEffects.xml"/><Relationship Id="rId9" Type="http://schemas.openxmlformats.org/officeDocument/2006/relationships/hyperlink" Target="http://stormwater.pca.state.mn.us/index.php/Overview_of_Minimal_Impact_Design_Standards_%28MIDS%29" TargetMode="External"/><Relationship Id="rId14" Type="http://schemas.openxmlformats.org/officeDocument/2006/relationships/hyperlink" Target="http://stormwater.pca.state.mn.us/index.php/Event_mean_concentrations_for_total_phosphorus" TargetMode="External"/><Relationship Id="rId22" Type="http://schemas.openxmlformats.org/officeDocument/2006/relationships/hyperlink" Target="http://stormwater.pca.state.mn.us/index.php/Requirements,_recommendations_and_information_for_using_swale_with_an_underdrain_as_a_BMP_in_the_MIDS_calculator" TargetMode="External"/><Relationship Id="rId27" Type="http://schemas.openxmlformats.org/officeDocument/2006/relationships/image" Target="media/image8.emf"/><Relationship Id="rId30" Type="http://schemas.openxmlformats.org/officeDocument/2006/relationships/hyperlink" Target="http://stormwater.pca.state.mn.us/index.php/Stormwater_re-use_and_rainwater_harvesting" TargetMode="External"/><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image" Target="media/image19.png"/><Relationship Id="rId8" Type="http://schemas.openxmlformats.org/officeDocument/2006/relationships/hyperlink" Target="http://stormwater.pca.state.mn.us/index.php/User%E2%80%99s_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6835F-4C58-4AD6-AE07-5072D2534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2240</TotalTime>
  <Pages>10</Pages>
  <Words>2894</Words>
  <Characters>16499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Barr Engineering Co.</Company>
  <LinksUpToDate>false</LinksUpToDate>
  <CharactersWithSpaces>19355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49</cp:revision>
  <dcterms:created xsi:type="dcterms:W3CDTF">2014-01-07T20:32:00Z</dcterms:created>
  <dcterms:modified xsi:type="dcterms:W3CDTF">2014-06-27T18:03:00Z</dcterms:modified>
</cp:coreProperties>
</file>