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769" w:rsidRDefault="000C75FD" w:rsidP="006C3769">
      <w:pPr>
        <w:autoSpaceDE w:val="0"/>
        <w:autoSpaceDN w:val="0"/>
        <w:adjustRightInd w:val="0"/>
        <w:jc w:val="center"/>
        <w:rPr>
          <w:rFonts w:eastAsia="Times New Roman" w:cs="Calibri"/>
          <w:b/>
          <w:sz w:val="28"/>
          <w:szCs w:val="28"/>
        </w:rPr>
      </w:pPr>
      <w:bookmarkStart w:id="0" w:name="_GoBack"/>
      <w:bookmarkEnd w:id="0"/>
      <w:r>
        <w:rPr>
          <w:rFonts w:eastAsia="Times New Roman" w:cs="Calibri"/>
          <w:b/>
          <w:sz w:val="28"/>
          <w:szCs w:val="28"/>
        </w:rPr>
        <w:t>REPORT</w:t>
      </w:r>
      <w:r w:rsidR="006C3769">
        <w:rPr>
          <w:rFonts w:eastAsia="Times New Roman" w:cs="Calibri"/>
          <w:b/>
          <w:sz w:val="28"/>
          <w:szCs w:val="28"/>
        </w:rPr>
        <w:t xml:space="preserve"> for OBJ2.TASK 10: </w:t>
      </w:r>
    </w:p>
    <w:p w:rsidR="006C3769" w:rsidRDefault="006C3769" w:rsidP="006C3769">
      <w:pPr>
        <w:autoSpaceDE w:val="0"/>
        <w:autoSpaceDN w:val="0"/>
        <w:adjustRightInd w:val="0"/>
        <w:jc w:val="center"/>
        <w:rPr>
          <w:rFonts w:eastAsia="Times New Roman" w:cs="Calibri"/>
          <w:b/>
          <w:color w:val="00B0F0"/>
          <w:sz w:val="28"/>
          <w:szCs w:val="28"/>
        </w:rPr>
      </w:pPr>
      <w:r>
        <w:rPr>
          <w:rFonts w:eastAsia="Times New Roman" w:cs="Calibri"/>
          <w:b/>
          <w:color w:val="00B0F0"/>
          <w:sz w:val="28"/>
          <w:szCs w:val="28"/>
        </w:rPr>
        <w:t>SPECIFIC STORM WATER CREDIT SYSTEMS</w:t>
      </w:r>
    </w:p>
    <w:p w:rsidR="006C3769" w:rsidRDefault="006C3769" w:rsidP="006C3769">
      <w:pPr>
        <w:autoSpaceDE w:val="0"/>
        <w:autoSpaceDN w:val="0"/>
        <w:adjustRightInd w:val="0"/>
        <w:jc w:val="center"/>
        <w:rPr>
          <w:rFonts w:eastAsia="Times New Roman" w:cs="Calibri"/>
          <w:b/>
          <w:sz w:val="28"/>
          <w:szCs w:val="28"/>
        </w:rPr>
      </w:pPr>
      <w:r>
        <w:rPr>
          <w:rFonts w:eastAsia="Times New Roman" w:cs="Calibri"/>
          <w:b/>
          <w:sz w:val="28"/>
          <w:szCs w:val="28"/>
        </w:rPr>
        <w:t>To: MPCA</w:t>
      </w:r>
    </w:p>
    <w:p w:rsidR="006C3769" w:rsidRDefault="006C3769" w:rsidP="006C3769">
      <w:pPr>
        <w:autoSpaceDE w:val="0"/>
        <w:autoSpaceDN w:val="0"/>
        <w:adjustRightInd w:val="0"/>
        <w:jc w:val="center"/>
        <w:rPr>
          <w:rFonts w:eastAsia="Times New Roman" w:cs="Calibri"/>
          <w:szCs w:val="22"/>
        </w:rPr>
      </w:pPr>
      <w:r>
        <w:rPr>
          <w:rFonts w:eastAsia="Times New Roman" w:cs="Calibri"/>
          <w:szCs w:val="22"/>
        </w:rPr>
        <w:t>From: The Kestrel Design Group Team:</w:t>
      </w:r>
    </w:p>
    <w:p w:rsidR="006C3769" w:rsidRDefault="006C3769" w:rsidP="006C3769">
      <w:pPr>
        <w:autoSpaceDE w:val="0"/>
        <w:autoSpaceDN w:val="0"/>
        <w:adjustRightInd w:val="0"/>
        <w:jc w:val="center"/>
        <w:rPr>
          <w:rFonts w:eastAsia="Times New Roman" w:cs="Calibri"/>
          <w:szCs w:val="22"/>
        </w:rPr>
      </w:pPr>
      <w:r>
        <w:rPr>
          <w:rFonts w:eastAsia="Times New Roman" w:cs="Calibri"/>
          <w:szCs w:val="22"/>
        </w:rPr>
        <w:t xml:space="preserve">Date: </w:t>
      </w:r>
      <w:r w:rsidR="00E8153F">
        <w:rPr>
          <w:rFonts w:eastAsia="Times New Roman" w:cs="Calibri"/>
          <w:szCs w:val="22"/>
        </w:rPr>
        <w:t xml:space="preserve">June </w:t>
      </w:r>
      <w:r w:rsidR="0089717B">
        <w:rPr>
          <w:rFonts w:eastAsia="Times New Roman" w:cs="Calibri"/>
          <w:szCs w:val="22"/>
        </w:rPr>
        <w:t>2</w:t>
      </w:r>
      <w:r w:rsidR="006826AC">
        <w:rPr>
          <w:rFonts w:eastAsia="Times New Roman" w:cs="Calibri"/>
          <w:szCs w:val="22"/>
        </w:rPr>
        <w:t>1</w:t>
      </w:r>
      <w:r>
        <w:rPr>
          <w:rFonts w:eastAsia="Times New Roman" w:cs="Calibri"/>
          <w:szCs w:val="22"/>
        </w:rPr>
        <w:t>, 2013</w:t>
      </w:r>
    </w:p>
    <w:p w:rsidR="006C3769" w:rsidRDefault="006C3769" w:rsidP="006C3769">
      <w:pPr>
        <w:autoSpaceDE w:val="0"/>
        <w:autoSpaceDN w:val="0"/>
        <w:adjustRightInd w:val="0"/>
        <w:jc w:val="center"/>
        <w:rPr>
          <w:rFonts w:eastAsia="Times New Roman" w:cs="Calibri"/>
          <w:szCs w:val="22"/>
        </w:rPr>
      </w:pPr>
      <w:r>
        <w:rPr>
          <w:rFonts w:eastAsia="Times New Roman" w:cs="Calibri"/>
          <w:szCs w:val="22"/>
        </w:rPr>
        <w:t>Re: Contract CR5332 Objective 2 Task 10</w:t>
      </w:r>
    </w:p>
    <w:p w:rsidR="006C3769" w:rsidRDefault="006C3769" w:rsidP="006C3769">
      <w:pPr>
        <w:autoSpaceDE w:val="0"/>
        <w:autoSpaceDN w:val="0"/>
        <w:adjustRightInd w:val="0"/>
        <w:rPr>
          <w:rFonts w:eastAsia="Times New Roman" w:cs="Calibri"/>
          <w:b/>
          <w:sz w:val="28"/>
          <w:szCs w:val="28"/>
        </w:rPr>
      </w:pPr>
    </w:p>
    <w:p w:rsidR="006C3769" w:rsidRDefault="006C3769" w:rsidP="006C3769">
      <w:pPr>
        <w:autoSpaceDE w:val="0"/>
        <w:autoSpaceDN w:val="0"/>
        <w:adjustRightInd w:val="0"/>
        <w:rPr>
          <w:rFonts w:eastAsia="Times New Roman" w:cs="Calibri"/>
          <w:b/>
          <w:sz w:val="32"/>
          <w:szCs w:val="32"/>
        </w:rPr>
      </w:pPr>
      <w:r>
        <w:rPr>
          <w:rFonts w:eastAsia="Times New Roman" w:cs="Calibri"/>
          <w:b/>
          <w:sz w:val="32"/>
          <w:szCs w:val="32"/>
        </w:rPr>
        <w:t>SCOPE</w:t>
      </w:r>
    </w:p>
    <w:p w:rsidR="006C3769" w:rsidRDefault="006C3769" w:rsidP="006C3769">
      <w:pPr>
        <w:autoSpaceDE w:val="0"/>
        <w:autoSpaceDN w:val="0"/>
        <w:adjustRightInd w:val="0"/>
        <w:rPr>
          <w:rFonts w:eastAsia="Times New Roman" w:cs="Calibri"/>
          <w:color w:val="76923C"/>
          <w:szCs w:val="22"/>
        </w:rPr>
      </w:pPr>
    </w:p>
    <w:p w:rsidR="006C3769" w:rsidRDefault="006C3769" w:rsidP="006C3769">
      <w:pPr>
        <w:pStyle w:val="ListParagraph"/>
        <w:numPr>
          <w:ilvl w:val="0"/>
          <w:numId w:val="1"/>
        </w:numPr>
        <w:spacing w:after="0" w:line="240" w:lineRule="auto"/>
        <w:rPr>
          <w:b/>
        </w:rPr>
      </w:pPr>
      <w:r>
        <w:rPr>
          <w:b/>
        </w:rPr>
        <w:t>Issues Informing MIDS Calculator: Phosphorus – discuss whether P reductions in calculator should vary with media and design</w:t>
      </w:r>
    </w:p>
    <w:p w:rsidR="006C3769" w:rsidRDefault="006C3769" w:rsidP="006C3769">
      <w:pPr>
        <w:ind w:left="720"/>
        <w:rPr>
          <w:b/>
          <w:sz w:val="32"/>
          <w:szCs w:val="32"/>
        </w:rPr>
      </w:pPr>
    </w:p>
    <w:p w:rsidR="006C3769" w:rsidRDefault="006C3769" w:rsidP="006C3769">
      <w:pPr>
        <w:rPr>
          <w:b/>
          <w:color w:val="00B0F0"/>
          <w:sz w:val="28"/>
          <w:szCs w:val="28"/>
        </w:rPr>
      </w:pPr>
      <w:r>
        <w:rPr>
          <w:b/>
          <w:color w:val="00B0F0"/>
          <w:sz w:val="28"/>
          <w:szCs w:val="28"/>
        </w:rPr>
        <w:t>MIDS CALCULATOR ANNUAL P REMOVAL: CURRENT AND PROPOSED</w:t>
      </w:r>
    </w:p>
    <w:p w:rsidR="006C3769" w:rsidRDefault="006C3769" w:rsidP="006C3769"/>
    <w:p w:rsidR="006C3769" w:rsidRDefault="006C3769" w:rsidP="006C3769">
      <w:pPr>
        <w:rPr>
          <w:b/>
          <w:color w:val="00B0F0"/>
        </w:rPr>
      </w:pPr>
      <w:r>
        <w:rPr>
          <w:b/>
          <w:color w:val="00B0F0"/>
        </w:rPr>
        <w:t xml:space="preserve">Percent P Removed Via Volume Reduction </w:t>
      </w:r>
      <w:proofErr w:type="gramStart"/>
      <w:r>
        <w:rPr>
          <w:b/>
          <w:color w:val="00B0F0"/>
        </w:rPr>
        <w:t>And</w:t>
      </w:r>
      <w:proofErr w:type="gramEnd"/>
      <w:r>
        <w:rPr>
          <w:b/>
          <w:color w:val="00B0F0"/>
        </w:rPr>
        <w:t xml:space="preserve"> Other Treatment</w:t>
      </w:r>
    </w:p>
    <w:p w:rsidR="006C3769" w:rsidRDefault="006C3769" w:rsidP="006C3769"/>
    <w:p w:rsidR="006C3769" w:rsidRDefault="006C3769" w:rsidP="006C3769">
      <w:r>
        <w:t>Current: 100%</w:t>
      </w:r>
    </w:p>
    <w:p w:rsidR="006C3769" w:rsidRDefault="006C3769" w:rsidP="006C3769">
      <w:r>
        <w:t>Proposed: 100%</w:t>
      </w:r>
    </w:p>
    <w:p w:rsidR="006C3769" w:rsidRDefault="006C3769" w:rsidP="006C3769"/>
    <w:p w:rsidR="006C3769" w:rsidRDefault="008E2D4E" w:rsidP="006C3769">
      <w:pPr>
        <w:rPr>
          <w:b/>
          <w:color w:val="00B0F0"/>
        </w:rPr>
      </w:pPr>
      <w:r>
        <w:rPr>
          <w:b/>
          <w:color w:val="00B0F0"/>
        </w:rPr>
        <w:br w:type="page"/>
      </w:r>
      <w:r w:rsidR="006C3769">
        <w:rPr>
          <w:b/>
          <w:color w:val="00B0F0"/>
        </w:rPr>
        <w:lastRenderedPageBreak/>
        <w:t>Percent P Removed Via Non-Volume Reduction Treatment</w:t>
      </w:r>
    </w:p>
    <w:p w:rsidR="006C3769" w:rsidRDefault="006C3769" w:rsidP="006C37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912"/>
        <w:gridCol w:w="2418"/>
        <w:gridCol w:w="912"/>
        <w:gridCol w:w="3318"/>
      </w:tblGrid>
      <w:tr w:rsidR="006C3769" w:rsidTr="00F76F23">
        <w:tc>
          <w:tcPr>
            <w:tcW w:w="2088" w:type="dxa"/>
            <w:tcBorders>
              <w:top w:val="single" w:sz="4" w:space="0" w:color="auto"/>
              <w:left w:val="single" w:sz="4" w:space="0" w:color="auto"/>
              <w:bottom w:val="single" w:sz="4" w:space="0" w:color="auto"/>
              <w:right w:val="single" w:sz="4" w:space="0" w:color="auto"/>
            </w:tcBorders>
          </w:tcPr>
          <w:p w:rsidR="006C3769" w:rsidRDefault="006C3769">
            <w:pPr>
              <w:tabs>
                <w:tab w:val="center" w:pos="4320"/>
                <w:tab w:val="right" w:pos="8640"/>
              </w:tabs>
              <w:rPr>
                <w:b/>
              </w:rPr>
            </w:pPr>
          </w:p>
        </w:tc>
        <w:tc>
          <w:tcPr>
            <w:tcW w:w="3330" w:type="dxa"/>
            <w:gridSpan w:val="2"/>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rPr>
                <w:b/>
              </w:rPr>
            </w:pPr>
            <w:r>
              <w:rPr>
                <w:b/>
              </w:rPr>
              <w:t>Particulate P</w:t>
            </w:r>
          </w:p>
        </w:tc>
        <w:tc>
          <w:tcPr>
            <w:tcW w:w="4230" w:type="dxa"/>
            <w:gridSpan w:val="2"/>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rPr>
                <w:b/>
              </w:rPr>
            </w:pPr>
            <w:r>
              <w:rPr>
                <w:b/>
              </w:rPr>
              <w:t>Dissolved P</w:t>
            </w:r>
          </w:p>
        </w:tc>
      </w:tr>
      <w:tr w:rsidR="006C3769" w:rsidTr="00F76F23">
        <w:tc>
          <w:tcPr>
            <w:tcW w:w="2088" w:type="dxa"/>
            <w:tcBorders>
              <w:top w:val="single" w:sz="4" w:space="0" w:color="auto"/>
              <w:left w:val="single" w:sz="4" w:space="0" w:color="auto"/>
              <w:bottom w:val="single" w:sz="4" w:space="0" w:color="auto"/>
              <w:right w:val="single" w:sz="4" w:space="0" w:color="auto"/>
            </w:tcBorders>
          </w:tcPr>
          <w:p w:rsidR="006C3769" w:rsidRDefault="006C3769">
            <w:pPr>
              <w:tabs>
                <w:tab w:val="center" w:pos="4320"/>
                <w:tab w:val="right" w:pos="8640"/>
              </w:tabs>
            </w:pPr>
          </w:p>
        </w:tc>
        <w:tc>
          <w:tcPr>
            <w:tcW w:w="912" w:type="dxa"/>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rPr>
                <w:b/>
              </w:rPr>
            </w:pPr>
            <w:r>
              <w:rPr>
                <w:b/>
              </w:rPr>
              <w:t>Current</w:t>
            </w:r>
          </w:p>
        </w:tc>
        <w:tc>
          <w:tcPr>
            <w:tcW w:w="2418" w:type="dxa"/>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rPr>
                <w:b/>
              </w:rPr>
            </w:pPr>
            <w:r>
              <w:rPr>
                <w:b/>
              </w:rPr>
              <w:t>Proposed</w:t>
            </w:r>
          </w:p>
        </w:tc>
        <w:tc>
          <w:tcPr>
            <w:tcW w:w="912" w:type="dxa"/>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rPr>
                <w:b/>
              </w:rPr>
            </w:pPr>
            <w:r>
              <w:rPr>
                <w:b/>
              </w:rPr>
              <w:t>Current</w:t>
            </w:r>
          </w:p>
        </w:tc>
        <w:tc>
          <w:tcPr>
            <w:tcW w:w="3318" w:type="dxa"/>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rPr>
                <w:b/>
              </w:rPr>
            </w:pPr>
            <w:r>
              <w:rPr>
                <w:b/>
              </w:rPr>
              <w:t>Proposed</w:t>
            </w:r>
          </w:p>
        </w:tc>
      </w:tr>
      <w:tr w:rsidR="006C3769" w:rsidTr="00F76F23">
        <w:tc>
          <w:tcPr>
            <w:tcW w:w="2088" w:type="dxa"/>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pPr>
            <w:r>
              <w:t>No underdrain</w:t>
            </w:r>
          </w:p>
        </w:tc>
        <w:tc>
          <w:tcPr>
            <w:tcW w:w="912" w:type="dxa"/>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pPr>
            <w:r>
              <w:t>0%</w:t>
            </w:r>
          </w:p>
        </w:tc>
        <w:tc>
          <w:tcPr>
            <w:tcW w:w="2418" w:type="dxa"/>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pPr>
            <w:r>
              <w:t>0%</w:t>
            </w:r>
          </w:p>
        </w:tc>
        <w:tc>
          <w:tcPr>
            <w:tcW w:w="912" w:type="dxa"/>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pPr>
            <w:r>
              <w:t>0%</w:t>
            </w:r>
          </w:p>
        </w:tc>
        <w:tc>
          <w:tcPr>
            <w:tcW w:w="3318" w:type="dxa"/>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pPr>
            <w:r>
              <w:t>0%</w:t>
            </w:r>
          </w:p>
        </w:tc>
      </w:tr>
      <w:tr w:rsidR="006C3769" w:rsidTr="00F76F23">
        <w:tc>
          <w:tcPr>
            <w:tcW w:w="2088" w:type="dxa"/>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pPr>
            <w:r>
              <w:t>Elevated underdrain</w:t>
            </w:r>
          </w:p>
        </w:tc>
        <w:tc>
          <w:tcPr>
            <w:tcW w:w="912" w:type="dxa"/>
            <w:tcBorders>
              <w:top w:val="single" w:sz="4" w:space="0" w:color="auto"/>
              <w:left w:val="single" w:sz="4" w:space="0" w:color="auto"/>
              <w:bottom w:val="single" w:sz="4" w:space="0" w:color="auto"/>
              <w:right w:val="single" w:sz="4" w:space="0" w:color="auto"/>
            </w:tcBorders>
            <w:hideMark/>
          </w:tcPr>
          <w:p w:rsidR="006C3769" w:rsidRDefault="006C3769">
            <w:pPr>
              <w:tabs>
                <w:tab w:val="center" w:pos="4320"/>
                <w:tab w:val="right" w:pos="8640"/>
              </w:tabs>
            </w:pPr>
            <w:r>
              <w:t>45%</w:t>
            </w:r>
          </w:p>
        </w:tc>
        <w:tc>
          <w:tcPr>
            <w:tcW w:w="2418" w:type="dxa"/>
            <w:tcBorders>
              <w:top w:val="single" w:sz="4" w:space="0" w:color="auto"/>
              <w:left w:val="single" w:sz="4" w:space="0" w:color="auto"/>
              <w:bottom w:val="single" w:sz="4" w:space="0" w:color="auto"/>
              <w:right w:val="single" w:sz="4" w:space="0" w:color="auto"/>
            </w:tcBorders>
          </w:tcPr>
          <w:p w:rsidR="006C3769" w:rsidRPr="007666C7" w:rsidRDefault="006C3769">
            <w:r w:rsidRPr="007666C7">
              <w:t xml:space="preserve">Is soil P content tested to be &lt; 36 mg/kg per Mehlich III test? </w:t>
            </w:r>
          </w:p>
          <w:p w:rsidR="006C3769" w:rsidRPr="007666C7" w:rsidRDefault="006C3769">
            <w:r w:rsidRPr="007666C7">
              <w:t xml:space="preserve">If yes, </w:t>
            </w:r>
            <w:r w:rsidR="001E66AC">
              <w:t>4</w:t>
            </w:r>
            <w:r w:rsidR="007666C7" w:rsidRPr="007666C7">
              <w:t>0</w:t>
            </w:r>
            <w:r w:rsidRPr="007666C7">
              <w:t xml:space="preserve"> %</w:t>
            </w:r>
          </w:p>
          <w:p w:rsidR="006C3769" w:rsidRPr="007666C7" w:rsidRDefault="006C3769">
            <w:r w:rsidRPr="007666C7">
              <w:t>If no, 0%</w:t>
            </w:r>
          </w:p>
          <w:p w:rsidR="006C3769" w:rsidRPr="007666C7" w:rsidRDefault="006C3769"/>
          <w:p w:rsidR="006C3769" w:rsidRPr="007666C7" w:rsidRDefault="006C3769"/>
        </w:tc>
        <w:tc>
          <w:tcPr>
            <w:tcW w:w="912" w:type="dxa"/>
            <w:tcBorders>
              <w:top w:val="single" w:sz="4" w:space="0" w:color="auto"/>
              <w:left w:val="single" w:sz="4" w:space="0" w:color="auto"/>
              <w:bottom w:val="single" w:sz="4" w:space="0" w:color="auto"/>
              <w:right w:val="single" w:sz="4" w:space="0" w:color="auto"/>
            </w:tcBorders>
            <w:hideMark/>
          </w:tcPr>
          <w:p w:rsidR="006C3769" w:rsidRPr="007666C7" w:rsidRDefault="006C3769">
            <w:r w:rsidRPr="007666C7">
              <w:t>0%</w:t>
            </w:r>
          </w:p>
        </w:tc>
        <w:tc>
          <w:tcPr>
            <w:tcW w:w="3318" w:type="dxa"/>
            <w:tcBorders>
              <w:top w:val="single" w:sz="4" w:space="0" w:color="auto"/>
              <w:left w:val="single" w:sz="4" w:space="0" w:color="auto"/>
              <w:bottom w:val="single" w:sz="4" w:space="0" w:color="auto"/>
              <w:right w:val="single" w:sz="4" w:space="0" w:color="auto"/>
            </w:tcBorders>
          </w:tcPr>
          <w:p w:rsidR="006C3769" w:rsidRDefault="006C3769">
            <w:r w:rsidRPr="007666C7">
              <w:t xml:space="preserve">Is soil P content tested to be &lt; 36 mg/kg per Mehlich III test? </w:t>
            </w:r>
          </w:p>
          <w:p w:rsidR="00F34AA2" w:rsidRDefault="00F34AA2"/>
          <w:p w:rsidR="00F34AA2" w:rsidRPr="007666C7" w:rsidRDefault="00F34AA2" w:rsidP="00F34AA2">
            <w:r w:rsidRPr="007666C7">
              <w:t>If no, 0%</w:t>
            </w:r>
          </w:p>
          <w:p w:rsidR="00F34AA2" w:rsidRPr="007666C7" w:rsidRDefault="00F34AA2"/>
          <w:p w:rsidR="00F34AA2" w:rsidRDefault="006C3769">
            <w:r w:rsidRPr="007666C7">
              <w:t xml:space="preserve">If yes, </w:t>
            </w:r>
            <w:r w:rsidR="00F34AA2">
              <w:t xml:space="preserve">is there at least 2 feet of soil </w:t>
            </w:r>
            <w:r w:rsidR="00F34AA2" w:rsidRPr="00E0656D">
              <w:rPr>
                <w:b/>
              </w:rPr>
              <w:t xml:space="preserve">above </w:t>
            </w:r>
            <w:r w:rsidR="00F34AA2">
              <w:t xml:space="preserve">the elevated underdrain? If yes, 20% credit, </w:t>
            </w:r>
          </w:p>
          <w:p w:rsidR="00F34AA2" w:rsidRDefault="00F34AA2"/>
          <w:p w:rsidR="00F34AA2" w:rsidRDefault="00F34AA2">
            <w:r>
              <w:t>If no, credit = 0.2*x</w:t>
            </w:r>
          </w:p>
          <w:p w:rsidR="00F34AA2" w:rsidRDefault="00F34AA2"/>
          <w:p w:rsidR="00F34AA2" w:rsidRDefault="00F34AA2">
            <w:r>
              <w:t>Where x = (soil depth above elevated underdrain) /2’</w:t>
            </w:r>
          </w:p>
          <w:p w:rsidR="00F34AA2" w:rsidRPr="007666C7" w:rsidRDefault="00F34AA2"/>
          <w:p w:rsidR="006C3769" w:rsidRPr="007666C7" w:rsidRDefault="00F34AA2">
            <w:r>
              <w:t>Credit for</w:t>
            </w:r>
            <w:r w:rsidR="006C3769" w:rsidRPr="007666C7">
              <w:t xml:space="preserve"> approved P-sorbing soil amendments*?</w:t>
            </w:r>
          </w:p>
          <w:p w:rsidR="00596509" w:rsidRDefault="00596509"/>
          <w:p w:rsidR="007666C7" w:rsidRPr="007666C7" w:rsidRDefault="007666C7">
            <w:r>
              <w:t xml:space="preserve">For iron enhanced soils, </w:t>
            </w:r>
            <w:r w:rsidR="000C75FD">
              <w:t>Imbrium or WTRs</w:t>
            </w:r>
            <w:r w:rsidR="000C75FD" w:rsidRPr="007666C7">
              <w:t xml:space="preserve">, </w:t>
            </w:r>
            <w:r>
              <w:t xml:space="preserve">additional </w:t>
            </w:r>
            <w:r w:rsidR="00DB7AAF">
              <w:t>4</w:t>
            </w:r>
            <w:r w:rsidR="00AC5BFE">
              <w:t>0</w:t>
            </w:r>
            <w:r>
              <w:t>% credit</w:t>
            </w:r>
          </w:p>
          <w:p w:rsidR="006C3769" w:rsidRPr="007666C7" w:rsidRDefault="006C3769" w:rsidP="007666C7">
            <w:pPr>
              <w:rPr>
                <w:b/>
              </w:rPr>
            </w:pPr>
          </w:p>
        </w:tc>
      </w:tr>
      <w:tr w:rsidR="007666C7" w:rsidTr="00F76F23">
        <w:tc>
          <w:tcPr>
            <w:tcW w:w="2088" w:type="dxa"/>
            <w:tcBorders>
              <w:top w:val="single" w:sz="4" w:space="0" w:color="auto"/>
              <w:left w:val="single" w:sz="4" w:space="0" w:color="auto"/>
              <w:bottom w:val="single" w:sz="4" w:space="0" w:color="auto"/>
              <w:right w:val="single" w:sz="4" w:space="0" w:color="auto"/>
            </w:tcBorders>
            <w:hideMark/>
          </w:tcPr>
          <w:p w:rsidR="007666C7" w:rsidRDefault="007666C7">
            <w:pPr>
              <w:tabs>
                <w:tab w:val="center" w:pos="4320"/>
                <w:tab w:val="right" w:pos="8640"/>
              </w:tabs>
            </w:pPr>
            <w:r>
              <w:t>Underdrain at the bottom</w:t>
            </w:r>
          </w:p>
        </w:tc>
        <w:tc>
          <w:tcPr>
            <w:tcW w:w="912" w:type="dxa"/>
            <w:tcBorders>
              <w:top w:val="single" w:sz="4" w:space="0" w:color="auto"/>
              <w:left w:val="single" w:sz="4" w:space="0" w:color="auto"/>
              <w:bottom w:val="single" w:sz="4" w:space="0" w:color="auto"/>
              <w:right w:val="single" w:sz="4" w:space="0" w:color="auto"/>
            </w:tcBorders>
            <w:hideMark/>
          </w:tcPr>
          <w:p w:rsidR="007666C7" w:rsidRDefault="007666C7">
            <w:pPr>
              <w:tabs>
                <w:tab w:val="center" w:pos="4320"/>
                <w:tab w:val="right" w:pos="8640"/>
              </w:tabs>
            </w:pPr>
            <w:r>
              <w:t>91%</w:t>
            </w:r>
          </w:p>
        </w:tc>
        <w:tc>
          <w:tcPr>
            <w:tcW w:w="2418" w:type="dxa"/>
            <w:tcBorders>
              <w:top w:val="single" w:sz="4" w:space="0" w:color="auto"/>
              <w:left w:val="single" w:sz="4" w:space="0" w:color="auto"/>
              <w:bottom w:val="single" w:sz="4" w:space="0" w:color="auto"/>
              <w:right w:val="single" w:sz="4" w:space="0" w:color="auto"/>
            </w:tcBorders>
          </w:tcPr>
          <w:p w:rsidR="007666C7" w:rsidRPr="007666C7" w:rsidRDefault="007666C7" w:rsidP="007666C7">
            <w:r w:rsidRPr="007666C7">
              <w:t xml:space="preserve">Is soil P content tested to be &lt; 36 mg/kg per Mehlich III test? </w:t>
            </w:r>
          </w:p>
          <w:p w:rsidR="007666C7" w:rsidRPr="007666C7" w:rsidRDefault="007666C7" w:rsidP="007666C7">
            <w:r w:rsidRPr="007666C7">
              <w:t xml:space="preserve">If yes, </w:t>
            </w:r>
            <w:r w:rsidR="001E66AC">
              <w:t>4</w:t>
            </w:r>
            <w:r w:rsidRPr="007666C7">
              <w:t>0 %</w:t>
            </w:r>
          </w:p>
          <w:p w:rsidR="007666C7" w:rsidRPr="007666C7" w:rsidRDefault="007666C7" w:rsidP="007666C7">
            <w:r w:rsidRPr="007666C7">
              <w:t>If no, 0%</w:t>
            </w:r>
          </w:p>
          <w:p w:rsidR="007666C7" w:rsidRPr="007666C7" w:rsidRDefault="007666C7" w:rsidP="007666C7"/>
          <w:p w:rsidR="007666C7" w:rsidRPr="007666C7" w:rsidRDefault="007666C7" w:rsidP="007666C7"/>
        </w:tc>
        <w:tc>
          <w:tcPr>
            <w:tcW w:w="912" w:type="dxa"/>
            <w:tcBorders>
              <w:top w:val="single" w:sz="4" w:space="0" w:color="auto"/>
              <w:left w:val="single" w:sz="4" w:space="0" w:color="auto"/>
              <w:bottom w:val="single" w:sz="4" w:space="0" w:color="auto"/>
              <w:right w:val="single" w:sz="4" w:space="0" w:color="auto"/>
            </w:tcBorders>
            <w:hideMark/>
          </w:tcPr>
          <w:p w:rsidR="007666C7" w:rsidRDefault="007666C7">
            <w:r>
              <w:t>0%</w:t>
            </w:r>
          </w:p>
        </w:tc>
        <w:tc>
          <w:tcPr>
            <w:tcW w:w="3318" w:type="dxa"/>
            <w:tcBorders>
              <w:top w:val="single" w:sz="4" w:space="0" w:color="auto"/>
              <w:left w:val="single" w:sz="4" w:space="0" w:color="auto"/>
              <w:bottom w:val="single" w:sz="4" w:space="0" w:color="auto"/>
              <w:right w:val="single" w:sz="4" w:space="0" w:color="auto"/>
            </w:tcBorders>
          </w:tcPr>
          <w:p w:rsidR="007666C7" w:rsidRPr="007666C7" w:rsidRDefault="007666C7" w:rsidP="007666C7">
            <w:r w:rsidRPr="007666C7">
              <w:t xml:space="preserve">Is soil P content tested to be &lt; 36 mg/kg per Mehlich III test? </w:t>
            </w:r>
          </w:p>
          <w:p w:rsidR="007666C7" w:rsidRPr="007666C7" w:rsidRDefault="007666C7" w:rsidP="007666C7">
            <w:r w:rsidRPr="007666C7">
              <w:t xml:space="preserve">If yes, </w:t>
            </w:r>
            <w:r>
              <w:t>2</w:t>
            </w:r>
            <w:r w:rsidRPr="007666C7">
              <w:t>0 %</w:t>
            </w:r>
          </w:p>
          <w:p w:rsidR="007666C7" w:rsidRPr="007666C7" w:rsidRDefault="007666C7" w:rsidP="007666C7">
            <w:r w:rsidRPr="007666C7">
              <w:t>If no, 0%</w:t>
            </w:r>
          </w:p>
          <w:p w:rsidR="007666C7" w:rsidRDefault="007666C7" w:rsidP="008A4C8F">
            <w:pPr>
              <w:tabs>
                <w:tab w:val="center" w:pos="4320"/>
                <w:tab w:val="right" w:pos="8640"/>
              </w:tabs>
            </w:pPr>
          </w:p>
          <w:p w:rsidR="00AC5BFE" w:rsidRPr="007666C7" w:rsidRDefault="00AC5BFE" w:rsidP="00AC5BFE">
            <w:r w:rsidRPr="007666C7">
              <w:t>Does the system include approved P-sorbing soil amendments*?</w:t>
            </w:r>
          </w:p>
          <w:p w:rsidR="00E0656D" w:rsidRDefault="00E0656D" w:rsidP="00DB7AAF"/>
          <w:p w:rsidR="007666C7" w:rsidRPr="000C75FD" w:rsidRDefault="000C75FD" w:rsidP="000C75FD">
            <w:r>
              <w:t>For iron enhanced soils, Imbrium or WTRs</w:t>
            </w:r>
            <w:r w:rsidRPr="007666C7">
              <w:t xml:space="preserve">, </w:t>
            </w:r>
            <w:r>
              <w:t>additional 40% credit</w:t>
            </w:r>
          </w:p>
        </w:tc>
      </w:tr>
      <w:tr w:rsidR="007666C7" w:rsidTr="00F76F23">
        <w:tc>
          <w:tcPr>
            <w:tcW w:w="2088" w:type="dxa"/>
            <w:tcBorders>
              <w:top w:val="single" w:sz="4" w:space="0" w:color="auto"/>
              <w:left w:val="single" w:sz="4" w:space="0" w:color="auto"/>
              <w:bottom w:val="single" w:sz="4" w:space="0" w:color="auto"/>
              <w:right w:val="single" w:sz="4" w:space="0" w:color="auto"/>
            </w:tcBorders>
            <w:hideMark/>
          </w:tcPr>
          <w:p w:rsidR="007666C7" w:rsidRDefault="00AC5BFE">
            <w:pPr>
              <w:tabs>
                <w:tab w:val="center" w:pos="4320"/>
                <w:tab w:val="right" w:pos="8640"/>
              </w:tabs>
            </w:pPr>
            <w:r>
              <w:t>Internal Water Storage (IWS)</w:t>
            </w:r>
          </w:p>
        </w:tc>
        <w:tc>
          <w:tcPr>
            <w:tcW w:w="912" w:type="dxa"/>
            <w:tcBorders>
              <w:top w:val="single" w:sz="4" w:space="0" w:color="auto"/>
              <w:left w:val="single" w:sz="4" w:space="0" w:color="auto"/>
              <w:bottom w:val="single" w:sz="4" w:space="0" w:color="auto"/>
              <w:right w:val="single" w:sz="4" w:space="0" w:color="auto"/>
            </w:tcBorders>
            <w:hideMark/>
          </w:tcPr>
          <w:p w:rsidR="007666C7" w:rsidRDefault="007666C7">
            <w:pPr>
              <w:tabs>
                <w:tab w:val="center" w:pos="4320"/>
                <w:tab w:val="right" w:pos="8640"/>
              </w:tabs>
            </w:pPr>
          </w:p>
        </w:tc>
        <w:tc>
          <w:tcPr>
            <w:tcW w:w="2418" w:type="dxa"/>
            <w:tcBorders>
              <w:top w:val="single" w:sz="4" w:space="0" w:color="auto"/>
              <w:left w:val="single" w:sz="4" w:space="0" w:color="auto"/>
              <w:bottom w:val="single" w:sz="4" w:space="0" w:color="auto"/>
              <w:right w:val="single" w:sz="4" w:space="0" w:color="auto"/>
            </w:tcBorders>
          </w:tcPr>
          <w:p w:rsidR="007666C7" w:rsidRPr="007666C7" w:rsidRDefault="007666C7" w:rsidP="007666C7">
            <w:r w:rsidRPr="007666C7">
              <w:t xml:space="preserve">Is soil P content tested to be &lt; 36 mg/kg per Mehlich III test? </w:t>
            </w:r>
          </w:p>
          <w:p w:rsidR="007666C7" w:rsidRPr="007666C7" w:rsidRDefault="007666C7" w:rsidP="007666C7">
            <w:r w:rsidRPr="007666C7">
              <w:t xml:space="preserve">If yes, </w:t>
            </w:r>
            <w:r w:rsidR="001E66AC">
              <w:t>4</w:t>
            </w:r>
            <w:r w:rsidRPr="007666C7">
              <w:t>0 %</w:t>
            </w:r>
          </w:p>
          <w:p w:rsidR="007666C7" w:rsidRPr="007666C7" w:rsidRDefault="007666C7" w:rsidP="007666C7">
            <w:r w:rsidRPr="007666C7">
              <w:t>If no, 0%</w:t>
            </w:r>
          </w:p>
          <w:p w:rsidR="007666C7" w:rsidRPr="007666C7" w:rsidRDefault="007666C7" w:rsidP="007666C7"/>
          <w:p w:rsidR="007666C7" w:rsidRPr="007666C7" w:rsidRDefault="007666C7" w:rsidP="007666C7"/>
        </w:tc>
        <w:tc>
          <w:tcPr>
            <w:tcW w:w="912" w:type="dxa"/>
            <w:tcBorders>
              <w:top w:val="single" w:sz="4" w:space="0" w:color="auto"/>
              <w:left w:val="single" w:sz="4" w:space="0" w:color="auto"/>
              <w:bottom w:val="single" w:sz="4" w:space="0" w:color="auto"/>
              <w:right w:val="single" w:sz="4" w:space="0" w:color="auto"/>
            </w:tcBorders>
            <w:hideMark/>
          </w:tcPr>
          <w:p w:rsidR="007666C7" w:rsidRDefault="007666C7"/>
        </w:tc>
        <w:tc>
          <w:tcPr>
            <w:tcW w:w="3318" w:type="dxa"/>
            <w:tcBorders>
              <w:top w:val="single" w:sz="4" w:space="0" w:color="auto"/>
              <w:left w:val="single" w:sz="4" w:space="0" w:color="auto"/>
              <w:bottom w:val="single" w:sz="4" w:space="0" w:color="auto"/>
              <w:right w:val="single" w:sz="4" w:space="0" w:color="auto"/>
            </w:tcBorders>
          </w:tcPr>
          <w:p w:rsidR="007666C7" w:rsidRPr="007666C7" w:rsidRDefault="007666C7" w:rsidP="007666C7">
            <w:r w:rsidRPr="007666C7">
              <w:t xml:space="preserve">Is soil P content tested to be &lt; 36 mg/kg per Mehlich III test? </w:t>
            </w:r>
          </w:p>
          <w:p w:rsidR="007666C7" w:rsidRPr="007666C7" w:rsidRDefault="007666C7" w:rsidP="007666C7">
            <w:r w:rsidRPr="007666C7">
              <w:t xml:space="preserve">If yes, </w:t>
            </w:r>
            <w:r>
              <w:t>2</w:t>
            </w:r>
            <w:r w:rsidRPr="007666C7">
              <w:t>0 %</w:t>
            </w:r>
          </w:p>
          <w:p w:rsidR="007666C7" w:rsidRDefault="007666C7" w:rsidP="007666C7">
            <w:r w:rsidRPr="007666C7">
              <w:t>If no, 0%</w:t>
            </w:r>
          </w:p>
          <w:p w:rsidR="00AC5BFE" w:rsidRPr="007666C7" w:rsidRDefault="00AC5BFE" w:rsidP="007666C7"/>
          <w:p w:rsidR="00AC5BFE" w:rsidRDefault="00AC5BFE" w:rsidP="00AC5BFE">
            <w:r w:rsidRPr="007666C7">
              <w:t>Does the system include approved P-sorbing soil amendments*?</w:t>
            </w:r>
          </w:p>
          <w:p w:rsidR="000C75FD" w:rsidRPr="007666C7" w:rsidRDefault="000C75FD" w:rsidP="00AC5BFE"/>
          <w:p w:rsidR="007666C7" w:rsidRPr="000C75FD" w:rsidRDefault="000C75FD" w:rsidP="00F76F23">
            <w:r>
              <w:t>For iron enhanced soils, Imbrium or WTRs</w:t>
            </w:r>
            <w:r w:rsidRPr="007666C7">
              <w:t xml:space="preserve">, </w:t>
            </w:r>
            <w:r>
              <w:t>additional 40% credit</w:t>
            </w:r>
          </w:p>
        </w:tc>
      </w:tr>
    </w:tbl>
    <w:p w:rsidR="006C3769" w:rsidRDefault="006C3769" w:rsidP="006C3769"/>
    <w:p w:rsidR="006C3769" w:rsidRDefault="006C3769" w:rsidP="006C3769">
      <w:r>
        <w:t>Approved P sorption amendments:</w:t>
      </w:r>
    </w:p>
    <w:p w:rsidR="006C3769" w:rsidRDefault="006C3769" w:rsidP="006C3769">
      <w:pPr>
        <w:numPr>
          <w:ilvl w:val="0"/>
          <w:numId w:val="2"/>
        </w:numPr>
      </w:pPr>
      <w:r>
        <w:t>5%</w:t>
      </w:r>
      <w:r w:rsidR="00E4610E">
        <w:t xml:space="preserve"> by volume </w:t>
      </w:r>
      <w:r w:rsidR="00427E3D">
        <w:t xml:space="preserve">elemental </w:t>
      </w:r>
      <w:r>
        <w:t>iron filings above IWS</w:t>
      </w:r>
      <w:r w:rsidR="00DD32C2">
        <w:t xml:space="preserve"> or elevated underdrain</w:t>
      </w:r>
    </w:p>
    <w:p w:rsidR="006C3769" w:rsidRDefault="006C3769" w:rsidP="006C3769">
      <w:pPr>
        <w:numPr>
          <w:ilvl w:val="0"/>
          <w:numId w:val="2"/>
        </w:numPr>
      </w:pPr>
      <w:r>
        <w:t xml:space="preserve">Minimum </w:t>
      </w:r>
      <w:r w:rsidR="00EF45D3">
        <w:t>5</w:t>
      </w:r>
      <w:r>
        <w:t>%</w:t>
      </w:r>
      <w:r w:rsidR="00E4610E">
        <w:t xml:space="preserve"> by volume </w:t>
      </w:r>
      <w:r>
        <w:t xml:space="preserve">sorptive media </w:t>
      </w:r>
      <w:r w:rsidR="0045567E">
        <w:t>above IWS or elevated underdrain</w:t>
      </w:r>
    </w:p>
    <w:p w:rsidR="00E0656D" w:rsidRDefault="00E0656D" w:rsidP="006C3769">
      <w:pPr>
        <w:numPr>
          <w:ilvl w:val="0"/>
          <w:numId w:val="2"/>
        </w:numPr>
      </w:pPr>
      <w:r>
        <w:lastRenderedPageBreak/>
        <w:t>Minimum 5% by weight water treatment residuals (WTR) to a depth of at least 10 cm (1/3 foot)</w:t>
      </w:r>
    </w:p>
    <w:p w:rsidR="006C3769" w:rsidRDefault="006C3769" w:rsidP="006C3769">
      <w:pPr>
        <w:numPr>
          <w:ilvl w:val="0"/>
          <w:numId w:val="2"/>
        </w:numPr>
      </w:pPr>
      <w:r>
        <w:t>Other P sorptive amendments with supporting third party research results showing P reduction for at least 20 year lifespan</w:t>
      </w:r>
      <w:r w:rsidR="0045567E">
        <w:t>, P credit commensurate with research results</w:t>
      </w:r>
      <w:r w:rsidR="00CD628B">
        <w:t xml:space="preserve"> (see Task 7 for examples of other P sorptive amendments currently being studied)</w:t>
      </w:r>
    </w:p>
    <w:p w:rsidR="006C3769" w:rsidRDefault="006C3769" w:rsidP="006C3769"/>
    <w:p w:rsidR="00776C80" w:rsidRDefault="00776C80" w:rsidP="006C3769">
      <w:r>
        <w:t>Note: the above P reduction credits proposed for P sorbing amendments are very conservative, and could potentially be increased as more data becomes available, especially for planted systems. While some of the existing data is for unplanted columns, planted systems are expected to have higher P removal than unplanted systems based on Lucas and Greenway (2011) and</w:t>
      </w:r>
      <w:r w:rsidR="000C75FD">
        <w:t xml:space="preserve">, Henderson et al (2007) and </w:t>
      </w:r>
      <w:r>
        <w:t>Henderson (200</w:t>
      </w:r>
      <w:r w:rsidR="000C75FD">
        <w:t>8</w:t>
      </w:r>
      <w:r>
        <w:t xml:space="preserve">). </w:t>
      </w:r>
    </w:p>
    <w:p w:rsidR="00776C80" w:rsidRDefault="00776C80" w:rsidP="006C3769"/>
    <w:p w:rsidR="006C3769" w:rsidRDefault="006C3769" w:rsidP="006C3769">
      <w:pPr>
        <w:rPr>
          <w:b/>
          <w:color w:val="00B0F0"/>
          <w:sz w:val="28"/>
          <w:szCs w:val="28"/>
        </w:rPr>
      </w:pPr>
      <w:r>
        <w:rPr>
          <w:b/>
          <w:color w:val="00B0F0"/>
          <w:sz w:val="28"/>
          <w:szCs w:val="28"/>
        </w:rPr>
        <w:t xml:space="preserve">SUPPORTING RESEARCH </w:t>
      </w:r>
    </w:p>
    <w:p w:rsidR="006C3769" w:rsidRDefault="006C3769" w:rsidP="006C3769"/>
    <w:p w:rsidR="00CD628B" w:rsidRPr="00627FF7" w:rsidRDefault="00627FF7" w:rsidP="006C3769">
      <w:pPr>
        <w:rPr>
          <w:b/>
          <w:color w:val="00B0F0"/>
          <w:sz w:val="28"/>
          <w:szCs w:val="28"/>
        </w:rPr>
      </w:pPr>
      <w:r>
        <w:rPr>
          <w:b/>
          <w:color w:val="00B0F0"/>
          <w:sz w:val="28"/>
          <w:szCs w:val="28"/>
        </w:rPr>
        <w:t>Soils with low P-Index</w:t>
      </w:r>
    </w:p>
    <w:p w:rsidR="00CD628B" w:rsidRDefault="00CD628B" w:rsidP="006C3769"/>
    <w:p w:rsidR="006C3769" w:rsidRDefault="00A3745D" w:rsidP="006C3769">
      <w:r>
        <w:t>While many bioretention practices have been found to leach phosphorus, r</w:t>
      </w:r>
      <w:r w:rsidR="006C3769">
        <w:t xml:space="preserve">esearch shows </w:t>
      </w:r>
      <w:r>
        <w:t>that with a P index below 36 mg/kg, bioretention systems can reduce rather than increase phosphorus in the effluent.</w:t>
      </w:r>
    </w:p>
    <w:p w:rsidR="006C3769" w:rsidRDefault="006C3769" w:rsidP="006C3769"/>
    <w:tbl>
      <w:tblPr>
        <w:tblW w:w="9645" w:type="dxa"/>
        <w:tblInd w:w="93" w:type="dxa"/>
        <w:tblLook w:val="04A0" w:firstRow="1" w:lastRow="0" w:firstColumn="1" w:lastColumn="0" w:noHBand="0" w:noVBand="1"/>
      </w:tblPr>
      <w:tblGrid>
        <w:gridCol w:w="2085"/>
        <w:gridCol w:w="1440"/>
        <w:gridCol w:w="990"/>
        <w:gridCol w:w="990"/>
        <w:gridCol w:w="1530"/>
        <w:gridCol w:w="2610"/>
      </w:tblGrid>
      <w:tr w:rsidR="00F76F23" w:rsidRPr="00F76F23" w:rsidTr="00F76F23">
        <w:trPr>
          <w:trHeight w:val="375"/>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Study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ID</w:t>
            </w: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Concetration Reduction (%)</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r w:rsidRPr="00F76F23">
              <w:rPr>
                <w:rFonts w:eastAsia="Times New Roman" w:cs="Calibri"/>
                <w:color w:val="000000"/>
                <w:szCs w:val="22"/>
              </w:rPr>
              <w:t>Notes:</w:t>
            </w:r>
          </w:p>
        </w:tc>
      </w:tr>
      <w:tr w:rsidR="00F76F23" w:rsidRPr="00F76F23" w:rsidTr="00F76F23">
        <w:trPr>
          <w:trHeight w:val="30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F76F23" w:rsidRPr="00F76F23" w:rsidRDefault="00F76F23" w:rsidP="00F76F23">
            <w:pPr>
              <w:rPr>
                <w:rFonts w:ascii="Arial" w:eastAsia="Times New Roman" w:hAnsi="Arial" w:cs="Arial"/>
                <w:b/>
                <w:bCs/>
                <w:color w:val="000000"/>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76F23" w:rsidRPr="00F76F23" w:rsidRDefault="00F76F23" w:rsidP="00F76F23">
            <w:pPr>
              <w:rPr>
                <w:rFonts w:ascii="Arial" w:eastAsia="Times New Roman" w:hAnsi="Arial" w:cs="Arial"/>
                <w:b/>
                <w:bCs/>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OP</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TP</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Particulate P</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p>
        </w:tc>
      </w:tr>
      <w:tr w:rsidR="00F76F23" w:rsidRPr="00F76F23" w:rsidTr="00F76F23">
        <w:trPr>
          <w:trHeight w:val="300"/>
        </w:trPr>
        <w:tc>
          <w:tcPr>
            <w:tcW w:w="20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6F23" w:rsidRPr="00AF5A93" w:rsidRDefault="00F76F23" w:rsidP="00F76F23">
            <w:pPr>
              <w:jc w:val="center"/>
              <w:rPr>
                <w:rFonts w:ascii="Arial" w:eastAsia="Times New Roman" w:hAnsi="Arial" w:cs="Arial"/>
                <w:color w:val="000000"/>
                <w:sz w:val="20"/>
                <w:szCs w:val="20"/>
                <w:highlight w:val="yellow"/>
              </w:rPr>
            </w:pPr>
            <w:r w:rsidRPr="00FD0767">
              <w:rPr>
                <w:rFonts w:ascii="Arial" w:eastAsia="Times New Roman" w:hAnsi="Arial" w:cs="Arial"/>
                <w:color w:val="000000"/>
                <w:sz w:val="20"/>
                <w:szCs w:val="20"/>
              </w:rPr>
              <w:t>Hunt et al., 2006</w:t>
            </w: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G1</w:t>
            </w:r>
          </w:p>
        </w:tc>
        <w:tc>
          <w:tcPr>
            <w:tcW w:w="990" w:type="dxa"/>
            <w:tcBorders>
              <w:top w:val="nil"/>
              <w:left w:val="nil"/>
              <w:bottom w:val="single" w:sz="4" w:space="0" w:color="auto"/>
              <w:right w:val="single" w:sz="4" w:space="0" w:color="auto"/>
            </w:tcBorders>
            <w:shd w:val="clear" w:color="000000" w:fill="E6B9B8"/>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-940</w:t>
            </w:r>
          </w:p>
        </w:tc>
        <w:tc>
          <w:tcPr>
            <w:tcW w:w="990" w:type="dxa"/>
            <w:tcBorders>
              <w:top w:val="single" w:sz="4" w:space="0" w:color="auto"/>
              <w:left w:val="nil"/>
              <w:bottom w:val="single" w:sz="4" w:space="0" w:color="auto"/>
              <w:right w:val="nil"/>
            </w:tcBorders>
            <w:shd w:val="clear" w:color="000000" w:fill="E6B9B8"/>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-409</w:t>
            </w:r>
          </w:p>
        </w:tc>
        <w:tc>
          <w:tcPr>
            <w:tcW w:w="1530" w:type="dxa"/>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No data</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r w:rsidRPr="00F76F23">
              <w:rPr>
                <w:rFonts w:eastAsia="Times New Roman" w:cs="Calibri"/>
                <w:color w:val="000000"/>
                <w:szCs w:val="22"/>
              </w:rPr>
              <w:t>Old style media - medium p index (20-26)</w:t>
            </w:r>
          </w:p>
        </w:tc>
      </w:tr>
      <w:tr w:rsidR="00F76F23" w:rsidRPr="00F76F23" w:rsidTr="00F76F23">
        <w:trPr>
          <w:trHeight w:val="300"/>
        </w:trPr>
        <w:tc>
          <w:tcPr>
            <w:tcW w:w="2085" w:type="dxa"/>
            <w:vMerge/>
            <w:tcBorders>
              <w:top w:val="nil"/>
              <w:left w:val="single" w:sz="4" w:space="0" w:color="auto"/>
              <w:bottom w:val="single" w:sz="4" w:space="0" w:color="auto"/>
              <w:right w:val="single" w:sz="4" w:space="0" w:color="auto"/>
            </w:tcBorders>
            <w:vAlign w:val="center"/>
            <w:hideMark/>
          </w:tcPr>
          <w:p w:rsidR="00F76F23" w:rsidRPr="00AF5A93" w:rsidRDefault="00F76F23" w:rsidP="00F76F23">
            <w:pPr>
              <w:rPr>
                <w:rFonts w:ascii="Arial" w:eastAsia="Times New Roman" w:hAnsi="Arial" w:cs="Arial"/>
                <w:color w:val="000000"/>
                <w:sz w:val="20"/>
                <w:szCs w:val="20"/>
                <w:highlight w:val="yellow"/>
              </w:rPr>
            </w:pP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G2</w:t>
            </w:r>
          </w:p>
        </w:tc>
        <w:tc>
          <w:tcPr>
            <w:tcW w:w="990" w:type="dxa"/>
            <w:tcBorders>
              <w:top w:val="nil"/>
              <w:left w:val="nil"/>
              <w:bottom w:val="single" w:sz="4" w:space="0" w:color="auto"/>
              <w:right w:val="single" w:sz="4" w:space="0" w:color="auto"/>
            </w:tcBorders>
            <w:shd w:val="clear" w:color="000000" w:fill="E6B9B8"/>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-3829</w:t>
            </w:r>
          </w:p>
        </w:tc>
        <w:tc>
          <w:tcPr>
            <w:tcW w:w="990" w:type="dxa"/>
            <w:tcBorders>
              <w:top w:val="single" w:sz="4" w:space="0" w:color="auto"/>
              <w:left w:val="nil"/>
              <w:bottom w:val="single" w:sz="4" w:space="0" w:color="auto"/>
              <w:right w:val="nil"/>
            </w:tcBorders>
            <w:shd w:val="clear" w:color="000000" w:fill="E6B9B8"/>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-2900</w:t>
            </w:r>
          </w:p>
        </w:tc>
        <w:tc>
          <w:tcPr>
            <w:tcW w:w="1530" w:type="dxa"/>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-2487</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r w:rsidRPr="00F76F23">
              <w:rPr>
                <w:rFonts w:eastAsia="Times New Roman" w:cs="Calibri"/>
                <w:color w:val="000000"/>
                <w:szCs w:val="22"/>
              </w:rPr>
              <w:t>Old style media - high p index (86-100)</w:t>
            </w:r>
          </w:p>
        </w:tc>
      </w:tr>
      <w:tr w:rsidR="00F76F23" w:rsidRPr="00F76F23" w:rsidTr="00F76F23">
        <w:trPr>
          <w:trHeight w:val="300"/>
        </w:trPr>
        <w:tc>
          <w:tcPr>
            <w:tcW w:w="20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6F23" w:rsidRPr="00AF5A93" w:rsidRDefault="00F76F23" w:rsidP="00F76F23">
            <w:pPr>
              <w:jc w:val="center"/>
              <w:rPr>
                <w:rFonts w:ascii="Arial" w:eastAsia="Times New Roman" w:hAnsi="Arial" w:cs="Arial"/>
                <w:color w:val="000000"/>
                <w:sz w:val="20"/>
                <w:szCs w:val="20"/>
                <w:highlight w:val="yellow"/>
              </w:rPr>
            </w:pPr>
            <w:r w:rsidRPr="00AF5A93">
              <w:rPr>
                <w:rFonts w:ascii="Arial" w:eastAsia="Times New Roman" w:hAnsi="Arial" w:cs="Arial"/>
                <w:color w:val="000000"/>
                <w:sz w:val="20"/>
                <w:szCs w:val="20"/>
              </w:rPr>
              <w:t>Passeport et al., 2009</w:t>
            </w: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North Cell</w:t>
            </w:r>
          </w:p>
        </w:tc>
        <w:tc>
          <w:tcPr>
            <w:tcW w:w="99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78</w:t>
            </w:r>
          </w:p>
        </w:tc>
        <w:tc>
          <w:tcPr>
            <w:tcW w:w="990" w:type="dxa"/>
            <w:tcBorders>
              <w:top w:val="single" w:sz="4" w:space="0" w:color="auto"/>
              <w:left w:val="nil"/>
              <w:bottom w:val="single" w:sz="4" w:space="0" w:color="auto"/>
              <w:right w:val="nil"/>
            </w:tcBorders>
            <w:shd w:val="clear" w:color="auto" w:fill="auto"/>
            <w:noWrap/>
            <w:vAlign w:val="center"/>
            <w:hideMark/>
          </w:tcPr>
          <w:p w:rsidR="00F76F23" w:rsidRPr="00F76F23" w:rsidRDefault="00F76F23" w:rsidP="00F76F23">
            <w:pPr>
              <w:jc w:val="center"/>
              <w:rPr>
                <w:rFonts w:eastAsia="Times New Roman" w:cs="Calibri"/>
                <w:color w:val="000000"/>
                <w:szCs w:val="22"/>
              </w:rPr>
            </w:pPr>
            <w:r w:rsidRPr="00F76F23">
              <w:rPr>
                <w:rFonts w:eastAsia="Times New Roman" w:cs="Calibri"/>
                <w:color w:val="000000"/>
                <w:szCs w:val="22"/>
              </w:rPr>
              <w:t>63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eastAsia="Times New Roman" w:cs="Calibri"/>
                <w:color w:val="000000"/>
                <w:szCs w:val="22"/>
              </w:rPr>
            </w:pPr>
            <w:r w:rsidRPr="00F76F23">
              <w:rPr>
                <w:rFonts w:eastAsia="Times New Roman" w:cs="Calibri"/>
                <w:color w:val="000000"/>
                <w:szCs w:val="22"/>
              </w:rPr>
              <w:t>53</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r w:rsidRPr="00F76F23">
              <w:rPr>
                <w:rFonts w:eastAsia="Times New Roman" w:cs="Calibri"/>
                <w:color w:val="000000"/>
                <w:szCs w:val="22"/>
              </w:rPr>
              <w:t>media 80% stalite, 15% sand, 5% OM (p index=8)</w:t>
            </w:r>
          </w:p>
        </w:tc>
      </w:tr>
      <w:tr w:rsidR="00F76F23" w:rsidRPr="00F76F23" w:rsidTr="00F76F23">
        <w:trPr>
          <w:trHeight w:val="300"/>
        </w:trPr>
        <w:tc>
          <w:tcPr>
            <w:tcW w:w="2085" w:type="dxa"/>
            <w:vMerge/>
            <w:tcBorders>
              <w:top w:val="nil"/>
              <w:left w:val="single" w:sz="4" w:space="0" w:color="auto"/>
              <w:bottom w:val="single" w:sz="4" w:space="0" w:color="auto"/>
              <w:right w:val="single" w:sz="4" w:space="0" w:color="auto"/>
            </w:tcBorders>
            <w:vAlign w:val="center"/>
            <w:hideMark/>
          </w:tcPr>
          <w:p w:rsidR="00F76F23" w:rsidRPr="00AF5A93" w:rsidRDefault="00F76F23" w:rsidP="00F76F23">
            <w:pPr>
              <w:rPr>
                <w:rFonts w:ascii="Arial" w:eastAsia="Times New Roman" w:hAnsi="Arial" w:cs="Arial"/>
                <w:color w:val="000000"/>
                <w:sz w:val="20"/>
                <w:szCs w:val="20"/>
                <w:highlight w:val="yellow"/>
              </w:rPr>
            </w:pP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South Cell</w:t>
            </w:r>
          </w:p>
        </w:tc>
        <w:tc>
          <w:tcPr>
            <w:tcW w:w="99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74</w:t>
            </w:r>
          </w:p>
        </w:tc>
        <w:tc>
          <w:tcPr>
            <w:tcW w:w="990" w:type="dxa"/>
            <w:tcBorders>
              <w:top w:val="single" w:sz="4" w:space="0" w:color="auto"/>
              <w:left w:val="nil"/>
              <w:bottom w:val="single" w:sz="4" w:space="0" w:color="auto"/>
              <w:right w:val="nil"/>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58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46</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r w:rsidRPr="00F76F23">
              <w:rPr>
                <w:rFonts w:eastAsia="Times New Roman" w:cs="Calibri"/>
                <w:color w:val="000000"/>
                <w:szCs w:val="22"/>
              </w:rPr>
              <w:t>media 80% stalite, 15% sand, 5% OM (p index=5)</w:t>
            </w:r>
          </w:p>
        </w:tc>
      </w:tr>
      <w:tr w:rsidR="00F76F23" w:rsidRPr="00F76F23" w:rsidTr="00F76F23">
        <w:trPr>
          <w:trHeight w:val="300"/>
        </w:trPr>
        <w:tc>
          <w:tcPr>
            <w:tcW w:w="2085" w:type="dxa"/>
            <w:tcBorders>
              <w:top w:val="nil"/>
              <w:left w:val="single" w:sz="4" w:space="0" w:color="auto"/>
              <w:bottom w:val="single" w:sz="4" w:space="0" w:color="auto"/>
              <w:right w:val="single" w:sz="4" w:space="0" w:color="auto"/>
            </w:tcBorders>
            <w:shd w:val="clear" w:color="auto" w:fill="auto"/>
            <w:noWrap/>
            <w:vAlign w:val="center"/>
            <w:hideMark/>
          </w:tcPr>
          <w:p w:rsidR="00F76F23" w:rsidRPr="007537A0" w:rsidRDefault="00F76F23" w:rsidP="00F76F23">
            <w:pPr>
              <w:jc w:val="center"/>
              <w:rPr>
                <w:rFonts w:ascii="Arial" w:eastAsia="Times New Roman" w:hAnsi="Arial" w:cs="Arial"/>
                <w:color w:val="000000"/>
                <w:sz w:val="20"/>
                <w:szCs w:val="20"/>
              </w:rPr>
            </w:pPr>
            <w:r w:rsidRPr="007537A0">
              <w:rPr>
                <w:rFonts w:ascii="Arial" w:eastAsia="Times New Roman" w:hAnsi="Arial" w:cs="Arial"/>
                <w:color w:val="000000"/>
                <w:sz w:val="20"/>
                <w:szCs w:val="20"/>
              </w:rPr>
              <w:t>Line and Hunt, 2009</w:t>
            </w: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7537A0" w:rsidRDefault="00F76F23" w:rsidP="00F76F23">
            <w:pPr>
              <w:jc w:val="center"/>
              <w:rPr>
                <w:rFonts w:ascii="Arial" w:eastAsia="Times New Roman" w:hAnsi="Arial" w:cs="Arial"/>
                <w:color w:val="000000"/>
                <w:sz w:val="20"/>
                <w:szCs w:val="20"/>
              </w:rPr>
            </w:pPr>
            <w:r w:rsidRPr="007537A0">
              <w:rPr>
                <w:rFonts w:ascii="Arial" w:eastAsia="Times New Roman" w:hAnsi="Arial" w:cs="Arial"/>
                <w:color w:val="000000"/>
                <w:sz w:val="20"/>
                <w:szCs w:val="20"/>
              </w:rPr>
              <w:t>DOT Cell</w:t>
            </w:r>
          </w:p>
        </w:tc>
        <w:tc>
          <w:tcPr>
            <w:tcW w:w="990" w:type="dxa"/>
            <w:tcBorders>
              <w:top w:val="nil"/>
              <w:left w:val="nil"/>
              <w:bottom w:val="single" w:sz="4" w:space="0" w:color="auto"/>
              <w:right w:val="single" w:sz="4" w:space="0" w:color="auto"/>
            </w:tcBorders>
            <w:shd w:val="clear" w:color="auto" w:fill="auto"/>
            <w:noWrap/>
            <w:vAlign w:val="center"/>
            <w:hideMark/>
          </w:tcPr>
          <w:p w:rsidR="00F76F23" w:rsidRPr="007537A0" w:rsidRDefault="00F76F23" w:rsidP="00F76F23">
            <w:pPr>
              <w:jc w:val="center"/>
              <w:rPr>
                <w:rFonts w:ascii="Arial" w:eastAsia="Times New Roman" w:hAnsi="Arial" w:cs="Arial"/>
                <w:color w:val="000000"/>
                <w:sz w:val="20"/>
                <w:szCs w:val="20"/>
              </w:rPr>
            </w:pPr>
            <w:r w:rsidRPr="007537A0">
              <w:rPr>
                <w:rFonts w:ascii="Arial" w:eastAsia="Times New Roman" w:hAnsi="Arial" w:cs="Arial"/>
                <w:color w:val="000000"/>
                <w:sz w:val="20"/>
                <w:szCs w:val="20"/>
              </w:rPr>
              <w:t>62</w:t>
            </w:r>
          </w:p>
        </w:tc>
        <w:tc>
          <w:tcPr>
            <w:tcW w:w="990" w:type="dxa"/>
            <w:tcBorders>
              <w:top w:val="single" w:sz="4" w:space="0" w:color="auto"/>
              <w:left w:val="nil"/>
              <w:bottom w:val="single" w:sz="4" w:space="0" w:color="auto"/>
              <w:right w:val="nil"/>
            </w:tcBorders>
            <w:shd w:val="clear" w:color="auto" w:fill="auto"/>
            <w:noWrap/>
            <w:vAlign w:val="center"/>
            <w:hideMark/>
          </w:tcPr>
          <w:p w:rsidR="00F76F23" w:rsidRPr="007537A0" w:rsidRDefault="00F76F23" w:rsidP="00F76F23">
            <w:pPr>
              <w:jc w:val="center"/>
              <w:rPr>
                <w:rFonts w:ascii="Arial" w:eastAsia="Times New Roman" w:hAnsi="Arial" w:cs="Arial"/>
                <w:color w:val="000000"/>
                <w:sz w:val="20"/>
                <w:szCs w:val="20"/>
              </w:rPr>
            </w:pPr>
            <w:r w:rsidRPr="007537A0">
              <w:rPr>
                <w:rFonts w:ascii="Arial" w:eastAsia="Times New Roman" w:hAnsi="Arial" w:cs="Arial"/>
                <w:color w:val="000000"/>
                <w:sz w:val="20"/>
                <w:szCs w:val="20"/>
              </w:rPr>
              <w:t>44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7537A0" w:rsidRDefault="00F76F23" w:rsidP="00F76F23">
            <w:pPr>
              <w:jc w:val="center"/>
              <w:rPr>
                <w:rFonts w:ascii="Arial" w:eastAsia="Times New Roman" w:hAnsi="Arial" w:cs="Arial"/>
                <w:color w:val="000000"/>
                <w:sz w:val="20"/>
                <w:szCs w:val="20"/>
              </w:rPr>
            </w:pPr>
            <w:r w:rsidRPr="007537A0">
              <w:rPr>
                <w:rFonts w:ascii="Arial" w:eastAsia="Times New Roman" w:hAnsi="Arial" w:cs="Arial"/>
                <w:color w:val="000000"/>
                <w:sz w:val="20"/>
                <w:szCs w:val="20"/>
              </w:rPr>
              <w:t>No data</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r w:rsidRPr="007537A0">
              <w:rPr>
                <w:rFonts w:eastAsia="Times New Roman" w:cs="Calibri"/>
                <w:color w:val="000000"/>
                <w:szCs w:val="22"/>
              </w:rPr>
              <w:t>Standard media - p index (22-36)</w:t>
            </w:r>
          </w:p>
        </w:tc>
      </w:tr>
      <w:tr w:rsidR="00F76F23" w:rsidRPr="00F76F23" w:rsidTr="00F76F23">
        <w:trPr>
          <w:trHeight w:val="300"/>
        </w:trPr>
        <w:tc>
          <w:tcPr>
            <w:tcW w:w="20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6F23" w:rsidRPr="00AF5A93" w:rsidRDefault="00F76F23" w:rsidP="00F76F23">
            <w:pPr>
              <w:jc w:val="center"/>
              <w:rPr>
                <w:rFonts w:ascii="Arial" w:eastAsia="Times New Roman" w:hAnsi="Arial" w:cs="Arial"/>
                <w:color w:val="000000"/>
                <w:sz w:val="20"/>
                <w:szCs w:val="20"/>
                <w:highlight w:val="yellow"/>
              </w:rPr>
            </w:pPr>
            <w:r w:rsidRPr="00FD0767">
              <w:rPr>
                <w:rFonts w:ascii="Arial" w:eastAsia="Times New Roman" w:hAnsi="Arial" w:cs="Arial"/>
                <w:color w:val="000000"/>
                <w:sz w:val="20"/>
                <w:szCs w:val="20"/>
              </w:rPr>
              <w:t>Brown and Hunt 2011</w:t>
            </w: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0.6 m media</w:t>
            </w:r>
          </w:p>
        </w:tc>
        <w:tc>
          <w:tcPr>
            <w:tcW w:w="99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-10</w:t>
            </w:r>
          </w:p>
        </w:tc>
        <w:tc>
          <w:tcPr>
            <w:tcW w:w="990" w:type="dxa"/>
            <w:tcBorders>
              <w:top w:val="single" w:sz="4" w:space="0" w:color="auto"/>
              <w:left w:val="nil"/>
              <w:bottom w:val="single" w:sz="4" w:space="0" w:color="auto"/>
              <w:right w:val="nil"/>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-2</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r w:rsidRPr="00F76F23">
              <w:rPr>
                <w:rFonts w:eastAsia="Times New Roman" w:cs="Calibri"/>
                <w:color w:val="000000"/>
                <w:szCs w:val="22"/>
              </w:rPr>
              <w:t>Pre-Repair</w:t>
            </w:r>
          </w:p>
        </w:tc>
      </w:tr>
      <w:tr w:rsidR="00F76F23" w:rsidRPr="00F76F23" w:rsidTr="00F76F23">
        <w:trPr>
          <w:trHeight w:val="300"/>
        </w:trPr>
        <w:tc>
          <w:tcPr>
            <w:tcW w:w="2085" w:type="dxa"/>
            <w:vMerge/>
            <w:tcBorders>
              <w:top w:val="nil"/>
              <w:left w:val="single" w:sz="4" w:space="0" w:color="auto"/>
              <w:bottom w:val="single" w:sz="4" w:space="0" w:color="000000"/>
              <w:right w:val="single" w:sz="4" w:space="0" w:color="auto"/>
            </w:tcBorders>
            <w:vAlign w:val="center"/>
            <w:hideMark/>
          </w:tcPr>
          <w:p w:rsidR="00F76F23" w:rsidRPr="00AF5A93" w:rsidRDefault="00F76F23" w:rsidP="00F76F23">
            <w:pPr>
              <w:rPr>
                <w:rFonts w:ascii="Arial" w:eastAsia="Times New Roman" w:hAnsi="Arial" w:cs="Arial"/>
                <w:color w:val="000000"/>
                <w:sz w:val="20"/>
                <w:szCs w:val="20"/>
                <w:highlight w:val="yellow"/>
              </w:rPr>
            </w:pP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0.9 m media</w:t>
            </w:r>
          </w:p>
        </w:tc>
        <w:tc>
          <w:tcPr>
            <w:tcW w:w="99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-6</w:t>
            </w:r>
          </w:p>
        </w:tc>
        <w:tc>
          <w:tcPr>
            <w:tcW w:w="990" w:type="dxa"/>
            <w:tcBorders>
              <w:top w:val="single" w:sz="4" w:space="0" w:color="auto"/>
              <w:left w:val="nil"/>
              <w:bottom w:val="single" w:sz="4" w:space="0" w:color="auto"/>
              <w:right w:val="nil"/>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18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36</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r w:rsidRPr="00F76F23">
              <w:rPr>
                <w:rFonts w:eastAsia="Times New Roman" w:cs="Calibri"/>
                <w:color w:val="000000"/>
                <w:szCs w:val="22"/>
              </w:rPr>
              <w:t>Pre-Repair</w:t>
            </w:r>
          </w:p>
        </w:tc>
      </w:tr>
      <w:tr w:rsidR="00F76F23" w:rsidRPr="00F76F23" w:rsidTr="00F76F23">
        <w:trPr>
          <w:trHeight w:val="300"/>
        </w:trPr>
        <w:tc>
          <w:tcPr>
            <w:tcW w:w="20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6F23" w:rsidRPr="00AF5A93" w:rsidRDefault="00F76F23" w:rsidP="00F76F23">
            <w:pPr>
              <w:jc w:val="center"/>
              <w:rPr>
                <w:rFonts w:ascii="Arial" w:eastAsia="Times New Roman" w:hAnsi="Arial" w:cs="Arial"/>
                <w:color w:val="000000"/>
                <w:sz w:val="20"/>
                <w:szCs w:val="20"/>
                <w:highlight w:val="yellow"/>
              </w:rPr>
            </w:pPr>
            <w:r w:rsidRPr="00B323A8">
              <w:rPr>
                <w:rFonts w:ascii="Arial" w:eastAsia="Times New Roman" w:hAnsi="Arial" w:cs="Arial"/>
                <w:color w:val="000000"/>
                <w:sz w:val="20"/>
                <w:szCs w:val="20"/>
              </w:rPr>
              <w:t>Brown and Hunt, 2012</w:t>
            </w: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0.6 m media</w:t>
            </w:r>
          </w:p>
        </w:tc>
        <w:tc>
          <w:tcPr>
            <w:tcW w:w="990" w:type="dxa"/>
            <w:tcBorders>
              <w:top w:val="nil"/>
              <w:left w:val="nil"/>
              <w:bottom w:val="single" w:sz="4" w:space="0" w:color="auto"/>
              <w:right w:val="single" w:sz="4" w:space="0" w:color="auto"/>
            </w:tcBorders>
            <w:shd w:val="clear" w:color="000000" w:fill="E6B9B8"/>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-367</w:t>
            </w:r>
          </w:p>
        </w:tc>
        <w:tc>
          <w:tcPr>
            <w:tcW w:w="990" w:type="dxa"/>
            <w:tcBorders>
              <w:top w:val="single" w:sz="4" w:space="0" w:color="auto"/>
              <w:left w:val="nil"/>
              <w:bottom w:val="single" w:sz="4" w:space="0" w:color="auto"/>
              <w:right w:val="nil"/>
            </w:tcBorders>
            <w:shd w:val="clear" w:color="000000" w:fill="E6B9B8"/>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32</w:t>
            </w:r>
          </w:p>
        </w:tc>
        <w:tc>
          <w:tcPr>
            <w:tcW w:w="1530" w:type="dxa"/>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8</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r w:rsidRPr="00F76F23">
              <w:rPr>
                <w:rFonts w:eastAsia="Times New Roman" w:cs="Calibri"/>
                <w:color w:val="000000"/>
                <w:szCs w:val="22"/>
              </w:rPr>
              <w:t>Post-Repair (irreducible concentrations)</w:t>
            </w:r>
          </w:p>
        </w:tc>
      </w:tr>
      <w:tr w:rsidR="00F76F23" w:rsidRPr="00F76F23" w:rsidTr="00F76F23">
        <w:trPr>
          <w:trHeight w:val="300"/>
        </w:trPr>
        <w:tc>
          <w:tcPr>
            <w:tcW w:w="2085" w:type="dxa"/>
            <w:vMerge/>
            <w:tcBorders>
              <w:top w:val="nil"/>
              <w:left w:val="single" w:sz="4" w:space="0" w:color="auto"/>
              <w:bottom w:val="single" w:sz="4" w:space="0" w:color="auto"/>
              <w:right w:val="single" w:sz="4" w:space="0" w:color="auto"/>
            </w:tcBorders>
            <w:vAlign w:val="center"/>
            <w:hideMark/>
          </w:tcPr>
          <w:p w:rsidR="00F76F23" w:rsidRPr="00AF5A93" w:rsidRDefault="00F76F23" w:rsidP="00F76F23">
            <w:pPr>
              <w:rPr>
                <w:rFonts w:ascii="Arial" w:eastAsia="Times New Roman" w:hAnsi="Arial" w:cs="Arial"/>
                <w:color w:val="000000"/>
                <w:sz w:val="20"/>
                <w:szCs w:val="20"/>
                <w:highlight w:val="yellow"/>
              </w:rPr>
            </w:pP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0.9 m media</w:t>
            </w:r>
          </w:p>
        </w:tc>
        <w:tc>
          <w:tcPr>
            <w:tcW w:w="990" w:type="dxa"/>
            <w:tcBorders>
              <w:top w:val="nil"/>
              <w:left w:val="nil"/>
              <w:bottom w:val="single" w:sz="4" w:space="0" w:color="auto"/>
              <w:right w:val="single" w:sz="4" w:space="0" w:color="auto"/>
            </w:tcBorders>
            <w:shd w:val="clear" w:color="000000" w:fill="E6B9B8"/>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-570</w:t>
            </w:r>
          </w:p>
        </w:tc>
        <w:tc>
          <w:tcPr>
            <w:tcW w:w="990" w:type="dxa"/>
            <w:tcBorders>
              <w:top w:val="single" w:sz="4" w:space="0" w:color="auto"/>
              <w:left w:val="nil"/>
              <w:bottom w:val="single" w:sz="4" w:space="0" w:color="auto"/>
              <w:right w:val="nil"/>
            </w:tcBorders>
            <w:shd w:val="clear" w:color="000000" w:fill="E6B9B8"/>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-25</w:t>
            </w:r>
          </w:p>
        </w:tc>
        <w:tc>
          <w:tcPr>
            <w:tcW w:w="1530" w:type="dxa"/>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32</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r w:rsidRPr="00F76F23">
              <w:rPr>
                <w:rFonts w:eastAsia="Times New Roman" w:cs="Calibri"/>
                <w:color w:val="000000"/>
                <w:szCs w:val="22"/>
              </w:rPr>
              <w:t>Post-Repair (irreducible concentrations)</w:t>
            </w:r>
          </w:p>
        </w:tc>
      </w:tr>
      <w:tr w:rsidR="00F76F23" w:rsidRPr="00F76F23" w:rsidTr="00F76F23">
        <w:trPr>
          <w:trHeight w:val="300"/>
        </w:trPr>
        <w:tc>
          <w:tcPr>
            <w:tcW w:w="2085" w:type="dxa"/>
            <w:tcBorders>
              <w:top w:val="nil"/>
              <w:left w:val="single" w:sz="4" w:space="0" w:color="auto"/>
              <w:bottom w:val="single" w:sz="4" w:space="0" w:color="auto"/>
              <w:right w:val="single" w:sz="4" w:space="0" w:color="auto"/>
            </w:tcBorders>
            <w:shd w:val="clear" w:color="auto" w:fill="auto"/>
            <w:noWrap/>
            <w:vAlign w:val="center"/>
            <w:hideMark/>
          </w:tcPr>
          <w:p w:rsidR="00F76F23" w:rsidRPr="00AF5A93" w:rsidRDefault="00F76F23" w:rsidP="00F76F23">
            <w:pPr>
              <w:jc w:val="center"/>
              <w:rPr>
                <w:rFonts w:ascii="Arial" w:eastAsia="Times New Roman" w:hAnsi="Arial" w:cs="Arial"/>
                <w:color w:val="000000"/>
                <w:sz w:val="20"/>
                <w:szCs w:val="20"/>
                <w:highlight w:val="yellow"/>
              </w:rPr>
            </w:pPr>
            <w:r w:rsidRPr="00AF5A93">
              <w:rPr>
                <w:rFonts w:ascii="Arial" w:eastAsia="Times New Roman" w:hAnsi="Arial" w:cs="Arial"/>
                <w:color w:val="000000"/>
                <w:sz w:val="20"/>
                <w:szCs w:val="20"/>
              </w:rPr>
              <w:t>Hunt et al., 2008</w:t>
            </w: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HMBC</w:t>
            </w:r>
          </w:p>
        </w:tc>
        <w:tc>
          <w:tcPr>
            <w:tcW w:w="99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NM</w:t>
            </w:r>
          </w:p>
        </w:tc>
        <w:tc>
          <w:tcPr>
            <w:tcW w:w="990" w:type="dxa"/>
            <w:tcBorders>
              <w:top w:val="single" w:sz="4" w:space="0" w:color="auto"/>
              <w:left w:val="nil"/>
              <w:bottom w:val="single" w:sz="4" w:space="0" w:color="auto"/>
              <w:right w:val="nil"/>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31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NM</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p>
        </w:tc>
      </w:tr>
      <w:tr w:rsidR="00F76F23" w:rsidRPr="00F76F23" w:rsidTr="00F76F23">
        <w:trPr>
          <w:trHeight w:val="300"/>
        </w:trPr>
        <w:tc>
          <w:tcPr>
            <w:tcW w:w="20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6F23" w:rsidRPr="00AF5A93" w:rsidRDefault="00F76F23" w:rsidP="00F76F23">
            <w:pPr>
              <w:jc w:val="center"/>
              <w:rPr>
                <w:rFonts w:ascii="Arial" w:eastAsia="Times New Roman" w:hAnsi="Arial" w:cs="Arial"/>
                <w:color w:val="000000"/>
                <w:sz w:val="20"/>
                <w:szCs w:val="20"/>
                <w:highlight w:val="yellow"/>
              </w:rPr>
            </w:pPr>
            <w:r w:rsidRPr="007537A0">
              <w:rPr>
                <w:rFonts w:ascii="Arial" w:eastAsia="Times New Roman" w:hAnsi="Arial" w:cs="Arial"/>
                <w:color w:val="000000"/>
                <w:sz w:val="20"/>
                <w:szCs w:val="20"/>
              </w:rPr>
              <w:t>Luell et al. 2011</w:t>
            </w: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Small Cell</w:t>
            </w:r>
          </w:p>
        </w:tc>
        <w:tc>
          <w:tcPr>
            <w:tcW w:w="99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NM</w:t>
            </w:r>
          </w:p>
        </w:tc>
        <w:tc>
          <w:tcPr>
            <w:tcW w:w="990" w:type="dxa"/>
            <w:tcBorders>
              <w:top w:val="single" w:sz="4" w:space="0" w:color="auto"/>
              <w:left w:val="nil"/>
              <w:bottom w:val="single" w:sz="4" w:space="0" w:color="auto"/>
              <w:right w:val="nil"/>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-10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NM</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p>
        </w:tc>
      </w:tr>
      <w:tr w:rsidR="00F76F23" w:rsidRPr="00F76F23" w:rsidTr="00F76F23">
        <w:trPr>
          <w:trHeight w:val="300"/>
        </w:trPr>
        <w:tc>
          <w:tcPr>
            <w:tcW w:w="2085" w:type="dxa"/>
            <w:vMerge/>
            <w:tcBorders>
              <w:top w:val="nil"/>
              <w:left w:val="single" w:sz="4" w:space="0" w:color="auto"/>
              <w:bottom w:val="single" w:sz="4" w:space="0" w:color="000000"/>
              <w:right w:val="single" w:sz="4" w:space="0" w:color="auto"/>
            </w:tcBorders>
            <w:vAlign w:val="center"/>
            <w:hideMark/>
          </w:tcPr>
          <w:p w:rsidR="00F76F23" w:rsidRPr="00AF5A93" w:rsidRDefault="00F76F23" w:rsidP="00F76F23">
            <w:pPr>
              <w:rPr>
                <w:rFonts w:ascii="Arial" w:eastAsia="Times New Roman" w:hAnsi="Arial" w:cs="Arial"/>
                <w:color w:val="000000"/>
                <w:sz w:val="20"/>
                <w:szCs w:val="20"/>
                <w:highlight w:val="yellow"/>
              </w:rPr>
            </w:pP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Large Cell</w:t>
            </w:r>
          </w:p>
        </w:tc>
        <w:tc>
          <w:tcPr>
            <w:tcW w:w="99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NM</w:t>
            </w:r>
          </w:p>
        </w:tc>
        <w:tc>
          <w:tcPr>
            <w:tcW w:w="990" w:type="dxa"/>
            <w:tcBorders>
              <w:top w:val="single" w:sz="4" w:space="0" w:color="auto"/>
              <w:left w:val="nil"/>
              <w:bottom w:val="single" w:sz="4" w:space="0" w:color="auto"/>
              <w:right w:val="nil"/>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NM</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p>
        </w:tc>
      </w:tr>
      <w:tr w:rsidR="00F76F23" w:rsidRPr="00F76F23" w:rsidTr="00F76F23">
        <w:trPr>
          <w:trHeight w:val="300"/>
        </w:trPr>
        <w:tc>
          <w:tcPr>
            <w:tcW w:w="2085" w:type="dxa"/>
            <w:tcBorders>
              <w:top w:val="nil"/>
              <w:left w:val="single" w:sz="4" w:space="0" w:color="auto"/>
              <w:bottom w:val="single" w:sz="4" w:space="0" w:color="auto"/>
              <w:right w:val="single" w:sz="4" w:space="0" w:color="auto"/>
            </w:tcBorders>
            <w:shd w:val="clear" w:color="auto" w:fill="auto"/>
            <w:noWrap/>
            <w:vAlign w:val="center"/>
            <w:hideMark/>
          </w:tcPr>
          <w:p w:rsidR="00F76F23" w:rsidRPr="00AF5A93" w:rsidRDefault="00F76F23" w:rsidP="00F76F23">
            <w:pPr>
              <w:jc w:val="center"/>
              <w:rPr>
                <w:rFonts w:ascii="Arial" w:eastAsia="Times New Roman" w:hAnsi="Arial" w:cs="Arial"/>
                <w:color w:val="000000"/>
                <w:sz w:val="20"/>
                <w:szCs w:val="20"/>
                <w:highlight w:val="yellow"/>
              </w:rPr>
            </w:pPr>
            <w:r w:rsidRPr="00AF5A93">
              <w:rPr>
                <w:rFonts w:ascii="Arial" w:eastAsia="Times New Roman" w:hAnsi="Arial" w:cs="Arial"/>
                <w:color w:val="000000"/>
                <w:sz w:val="20"/>
                <w:szCs w:val="20"/>
              </w:rPr>
              <w:t>Brown and Hunt 2011</w:t>
            </w:r>
          </w:p>
        </w:tc>
        <w:tc>
          <w:tcPr>
            <w:tcW w:w="144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SCL Cell</w:t>
            </w:r>
          </w:p>
        </w:tc>
        <w:tc>
          <w:tcPr>
            <w:tcW w:w="99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35</w:t>
            </w:r>
          </w:p>
        </w:tc>
        <w:tc>
          <w:tcPr>
            <w:tcW w:w="990" w:type="dxa"/>
            <w:tcBorders>
              <w:top w:val="single" w:sz="4" w:space="0" w:color="auto"/>
              <w:left w:val="nil"/>
              <w:bottom w:val="single" w:sz="4" w:space="0" w:color="auto"/>
              <w:right w:val="nil"/>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69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color w:val="000000"/>
                <w:sz w:val="20"/>
                <w:szCs w:val="20"/>
              </w:rPr>
            </w:pPr>
            <w:r w:rsidRPr="00F76F23">
              <w:rPr>
                <w:rFonts w:ascii="Arial" w:eastAsia="Times New Roman" w:hAnsi="Arial" w:cs="Arial"/>
                <w:color w:val="000000"/>
                <w:sz w:val="20"/>
                <w:szCs w:val="20"/>
              </w:rPr>
              <w:t>67</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p>
        </w:tc>
      </w:tr>
      <w:tr w:rsidR="00F76F23" w:rsidRPr="00F76F23" w:rsidTr="00F76F23">
        <w:trPr>
          <w:trHeight w:val="300"/>
        </w:trPr>
        <w:tc>
          <w:tcPr>
            <w:tcW w:w="352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Mean</w:t>
            </w:r>
          </w:p>
        </w:tc>
        <w:tc>
          <w:tcPr>
            <w:tcW w:w="99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39</w:t>
            </w:r>
          </w:p>
        </w:tc>
        <w:tc>
          <w:tcPr>
            <w:tcW w:w="990" w:type="dxa"/>
            <w:tcBorders>
              <w:top w:val="single" w:sz="4" w:space="0" w:color="auto"/>
              <w:left w:val="nil"/>
              <w:bottom w:val="single" w:sz="4" w:space="0" w:color="auto"/>
              <w:right w:val="nil"/>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41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40</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p>
        </w:tc>
      </w:tr>
      <w:tr w:rsidR="00F76F23" w:rsidRPr="00F76F23" w:rsidTr="00F76F23">
        <w:trPr>
          <w:trHeight w:val="300"/>
        </w:trPr>
        <w:tc>
          <w:tcPr>
            <w:tcW w:w="352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Median</w:t>
            </w:r>
          </w:p>
        </w:tc>
        <w:tc>
          <w:tcPr>
            <w:tcW w:w="990" w:type="dxa"/>
            <w:tcBorders>
              <w:top w:val="nil"/>
              <w:left w:val="nil"/>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48.5</w:t>
            </w:r>
          </w:p>
        </w:tc>
        <w:tc>
          <w:tcPr>
            <w:tcW w:w="990" w:type="dxa"/>
            <w:tcBorders>
              <w:top w:val="single" w:sz="4" w:space="0" w:color="auto"/>
              <w:left w:val="nil"/>
              <w:bottom w:val="single" w:sz="4" w:space="0" w:color="auto"/>
              <w:right w:val="nil"/>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51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F23" w:rsidRPr="00F76F23" w:rsidRDefault="00F76F23" w:rsidP="00F76F23">
            <w:pPr>
              <w:jc w:val="center"/>
              <w:rPr>
                <w:rFonts w:ascii="Arial" w:eastAsia="Times New Roman" w:hAnsi="Arial" w:cs="Arial"/>
                <w:b/>
                <w:bCs/>
                <w:color w:val="000000"/>
                <w:sz w:val="20"/>
                <w:szCs w:val="20"/>
              </w:rPr>
            </w:pPr>
            <w:r w:rsidRPr="00F76F23">
              <w:rPr>
                <w:rFonts w:ascii="Arial" w:eastAsia="Times New Roman" w:hAnsi="Arial" w:cs="Arial"/>
                <w:b/>
                <w:bCs/>
                <w:color w:val="000000"/>
                <w:sz w:val="20"/>
                <w:szCs w:val="20"/>
              </w:rPr>
              <w:t>46</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76F23" w:rsidRPr="00F76F23" w:rsidRDefault="00F76F23" w:rsidP="00F76F23">
            <w:pPr>
              <w:rPr>
                <w:rFonts w:eastAsia="Times New Roman" w:cs="Calibri"/>
                <w:color w:val="000000"/>
                <w:szCs w:val="22"/>
              </w:rPr>
            </w:pPr>
          </w:p>
        </w:tc>
      </w:tr>
    </w:tbl>
    <w:p w:rsidR="00F76F23" w:rsidRPr="00F76F23" w:rsidRDefault="00F76F23" w:rsidP="00F76F23">
      <w:pPr>
        <w:tabs>
          <w:tab w:val="left" w:pos="3893"/>
          <w:tab w:val="left" w:pos="5072"/>
          <w:tab w:val="left" w:pos="6251"/>
          <w:tab w:val="left" w:pos="8028"/>
        </w:tabs>
        <w:ind w:left="93"/>
        <w:rPr>
          <w:rFonts w:eastAsia="Times New Roman" w:cs="Calibri"/>
          <w:color w:val="000000"/>
          <w:szCs w:val="22"/>
        </w:rPr>
      </w:pPr>
      <w:r w:rsidRPr="00F76F23">
        <w:rPr>
          <w:rFonts w:ascii="Arial" w:eastAsia="Times New Roman" w:hAnsi="Arial" w:cs="Arial"/>
          <w:color w:val="000000"/>
          <w:sz w:val="16"/>
          <w:szCs w:val="16"/>
        </w:rPr>
        <w:t>Negative sign “-</w:t>
      </w:r>
      <w:proofErr w:type="gramStart"/>
      <w:r w:rsidRPr="00F76F23">
        <w:rPr>
          <w:rFonts w:ascii="Arial" w:eastAsia="Times New Roman" w:hAnsi="Arial" w:cs="Arial"/>
          <w:color w:val="000000"/>
          <w:sz w:val="16"/>
          <w:szCs w:val="16"/>
        </w:rPr>
        <w:t>“ implies</w:t>
      </w:r>
      <w:proofErr w:type="gramEnd"/>
      <w:r w:rsidRPr="00F76F23">
        <w:rPr>
          <w:rFonts w:ascii="Arial" w:eastAsia="Times New Roman" w:hAnsi="Arial" w:cs="Arial"/>
          <w:color w:val="000000"/>
          <w:sz w:val="16"/>
          <w:szCs w:val="16"/>
        </w:rPr>
        <w:t xml:space="preserve"> pollutant export</w:t>
      </w:r>
      <w:r w:rsidRPr="00F76F23">
        <w:rPr>
          <w:rFonts w:ascii="Arial" w:eastAsia="Times New Roman" w:hAnsi="Arial" w:cs="Arial"/>
          <w:color w:val="000000"/>
          <w:sz w:val="16"/>
          <w:szCs w:val="16"/>
        </w:rPr>
        <w:tab/>
      </w:r>
      <w:r w:rsidRPr="00F76F23">
        <w:rPr>
          <w:rFonts w:ascii="Arial" w:eastAsia="Times New Roman" w:hAnsi="Arial" w:cs="Arial"/>
          <w:color w:val="000000"/>
          <w:sz w:val="20"/>
          <w:szCs w:val="20"/>
        </w:rPr>
        <w:tab/>
      </w:r>
      <w:r w:rsidRPr="00F76F23">
        <w:rPr>
          <w:rFonts w:ascii="Arial" w:eastAsia="Times New Roman" w:hAnsi="Arial" w:cs="Arial"/>
          <w:color w:val="000000"/>
          <w:sz w:val="20"/>
          <w:szCs w:val="20"/>
        </w:rPr>
        <w:tab/>
      </w:r>
      <w:r w:rsidRPr="00F76F23">
        <w:rPr>
          <w:rFonts w:ascii="Arial" w:eastAsia="Times New Roman" w:hAnsi="Arial" w:cs="Arial"/>
          <w:color w:val="000000"/>
          <w:sz w:val="20"/>
          <w:szCs w:val="20"/>
        </w:rPr>
        <w:tab/>
      </w:r>
    </w:p>
    <w:p w:rsidR="00F76F23" w:rsidRPr="00F76F23" w:rsidRDefault="00F76F23" w:rsidP="00F76F23">
      <w:pPr>
        <w:tabs>
          <w:tab w:val="left" w:pos="3893"/>
          <w:tab w:val="left" w:pos="5072"/>
          <w:tab w:val="left" w:pos="6251"/>
          <w:tab w:val="left" w:pos="8028"/>
        </w:tabs>
        <w:ind w:left="93"/>
        <w:rPr>
          <w:rFonts w:eastAsia="Times New Roman" w:cs="Calibri"/>
          <w:color w:val="000000"/>
          <w:szCs w:val="22"/>
        </w:rPr>
      </w:pPr>
      <w:r w:rsidRPr="00F76F23">
        <w:rPr>
          <w:rFonts w:ascii="Arial" w:eastAsia="Times New Roman" w:hAnsi="Arial" w:cs="Arial"/>
          <w:color w:val="000000"/>
          <w:sz w:val="16"/>
          <w:szCs w:val="16"/>
        </w:rPr>
        <w:t>NM = not measured</w:t>
      </w:r>
      <w:r w:rsidRPr="00F76F23">
        <w:rPr>
          <w:rFonts w:ascii="Arial" w:eastAsia="Times New Roman" w:hAnsi="Arial" w:cs="Arial"/>
          <w:color w:val="000000"/>
          <w:sz w:val="16"/>
          <w:szCs w:val="16"/>
        </w:rPr>
        <w:tab/>
      </w:r>
      <w:r w:rsidRPr="00F76F23">
        <w:rPr>
          <w:rFonts w:ascii="Arial" w:eastAsia="Times New Roman" w:hAnsi="Arial" w:cs="Arial"/>
          <w:color w:val="000000"/>
          <w:sz w:val="20"/>
          <w:szCs w:val="20"/>
        </w:rPr>
        <w:tab/>
      </w:r>
      <w:r w:rsidRPr="00F76F23">
        <w:rPr>
          <w:rFonts w:ascii="Arial" w:eastAsia="Times New Roman" w:hAnsi="Arial" w:cs="Arial"/>
          <w:color w:val="000000"/>
          <w:sz w:val="20"/>
          <w:szCs w:val="20"/>
        </w:rPr>
        <w:tab/>
      </w:r>
      <w:r w:rsidRPr="00F76F23">
        <w:rPr>
          <w:rFonts w:ascii="Arial" w:eastAsia="Times New Roman" w:hAnsi="Arial" w:cs="Arial"/>
          <w:color w:val="000000"/>
          <w:sz w:val="20"/>
          <w:szCs w:val="20"/>
        </w:rPr>
        <w:tab/>
      </w:r>
    </w:p>
    <w:p w:rsidR="008E2D4E" w:rsidRDefault="008E2D4E" w:rsidP="00CD628B">
      <w:pPr>
        <w:rPr>
          <w:b/>
          <w:color w:val="00B0F0"/>
        </w:rPr>
      </w:pPr>
    </w:p>
    <w:p w:rsidR="00627FF7" w:rsidRDefault="00F76F23" w:rsidP="00CD628B">
      <w:pPr>
        <w:rPr>
          <w:b/>
          <w:color w:val="00B0F0"/>
          <w:sz w:val="28"/>
          <w:szCs w:val="28"/>
        </w:rPr>
      </w:pPr>
      <w:r>
        <w:rPr>
          <w:b/>
          <w:color w:val="00B0F0"/>
        </w:rPr>
        <w:br w:type="page"/>
      </w:r>
      <w:r w:rsidR="00CD628B" w:rsidRPr="00627FF7">
        <w:rPr>
          <w:b/>
          <w:color w:val="00B0F0"/>
          <w:sz w:val="28"/>
          <w:szCs w:val="28"/>
        </w:rPr>
        <w:lastRenderedPageBreak/>
        <w:t>Soils Amendments</w:t>
      </w:r>
    </w:p>
    <w:p w:rsidR="00627FF7" w:rsidRDefault="00627FF7" w:rsidP="00CD628B">
      <w:pPr>
        <w:rPr>
          <w:b/>
          <w:color w:val="00B0F0"/>
        </w:rPr>
      </w:pPr>
    </w:p>
    <w:p w:rsidR="00CD628B" w:rsidRDefault="00627FF7" w:rsidP="00CD628B">
      <w:r>
        <w:t>S</w:t>
      </w:r>
      <w:r w:rsidR="00AC53F6" w:rsidRPr="000C75FD">
        <w:t>ee task 7 for research summary</w:t>
      </w:r>
    </w:p>
    <w:p w:rsidR="00B7287A" w:rsidRDefault="00B7287A" w:rsidP="00CD628B"/>
    <w:p w:rsidR="00B7287A" w:rsidRPr="00B7287A" w:rsidRDefault="00B7287A" w:rsidP="00B7287A">
      <w:r w:rsidRPr="00B7287A">
        <w:t xml:space="preserve">Barr proposed 60% dissolved P removal credit for iron </w:t>
      </w:r>
      <w:r w:rsidRPr="00B7287A">
        <w:rPr>
          <w:b/>
        </w:rPr>
        <w:t>enhanced sand filters</w:t>
      </w:r>
      <w:r w:rsidRPr="00B7287A">
        <w:t>, based on st</w:t>
      </w:r>
      <w:r>
        <w:t>udies by Erickson et al. Based o</w:t>
      </w:r>
      <w:r w:rsidRPr="00B7287A">
        <w:t xml:space="preserve">n the same studies, </w:t>
      </w:r>
      <w:r>
        <w:t xml:space="preserve">as well as agricultural research, </w:t>
      </w:r>
      <w:r w:rsidRPr="00B7287A">
        <w:t xml:space="preserve">total </w:t>
      </w:r>
      <w:r w:rsidRPr="00B7287A">
        <w:rPr>
          <w:b/>
        </w:rPr>
        <w:t>bioretention</w:t>
      </w:r>
      <w:r w:rsidRPr="00B7287A">
        <w:t xml:space="preserve"> dissolved P credit for low P index soil</w:t>
      </w:r>
      <w:r>
        <w:t xml:space="preserve"> enhanced </w:t>
      </w:r>
      <w:r w:rsidRPr="00B7287A">
        <w:t>with iron proposed here by Kestrel team is also 60%</w:t>
      </w:r>
      <w:r>
        <w:t xml:space="preserve"> (see Task 7 for research summary).</w:t>
      </w:r>
    </w:p>
    <w:p w:rsidR="00E0656D" w:rsidRDefault="00E0656D" w:rsidP="00CD628B">
      <w:pPr>
        <w:rPr>
          <w:b/>
        </w:rPr>
      </w:pPr>
    </w:p>
    <w:p w:rsidR="00CD628B" w:rsidRDefault="00CD628B" w:rsidP="006C3769">
      <w:r>
        <w:rPr>
          <w:b/>
          <w:color w:val="00B0F0"/>
          <w:sz w:val="28"/>
          <w:szCs w:val="28"/>
        </w:rPr>
        <w:t>PRECEDENTS</w:t>
      </w:r>
    </w:p>
    <w:p w:rsidR="00CD628B" w:rsidRDefault="00CD628B" w:rsidP="006C3769"/>
    <w:p w:rsidR="008A4C8F" w:rsidRDefault="008A4C8F" w:rsidP="008A4C8F">
      <w:pPr>
        <w:rPr>
          <w:b/>
          <w:color w:val="00B0F0"/>
          <w:sz w:val="28"/>
          <w:szCs w:val="28"/>
        </w:rPr>
      </w:pPr>
      <w:r>
        <w:rPr>
          <w:b/>
          <w:color w:val="00B0F0"/>
          <w:sz w:val="28"/>
          <w:szCs w:val="28"/>
        </w:rPr>
        <w:t>North Carolina</w:t>
      </w:r>
    </w:p>
    <w:p w:rsidR="008A4C8F" w:rsidRDefault="008A4C8F" w:rsidP="006C3769"/>
    <w:p w:rsidR="006C3769" w:rsidRDefault="00CD628B" w:rsidP="006C3769">
      <w:pPr>
        <w:rPr>
          <w:rFonts w:eastAsia="Times New Roman" w:cs="Calibri"/>
          <w:color w:val="000000"/>
          <w:szCs w:val="22"/>
        </w:rPr>
      </w:pPr>
      <w:r>
        <w:t>T</w:t>
      </w:r>
      <w:r w:rsidR="006C3769">
        <w:t xml:space="preserve">he North Carolina </w:t>
      </w:r>
      <w:r w:rsidR="006C3769">
        <w:rPr>
          <w:rFonts w:eastAsia="Times New Roman" w:cs="Calibri"/>
          <w:color w:val="000000"/>
          <w:szCs w:val="22"/>
        </w:rPr>
        <w:t>Department of Environment and Natural Resources gives P removal credit for bioretention as follows for bioretention with P-Index between 10 and 30 (N.C. Department of Environment and Natural Resources, 2009):</w:t>
      </w:r>
    </w:p>
    <w:p w:rsidR="006C3769" w:rsidRDefault="006C3769" w:rsidP="006C3769">
      <w:pPr>
        <w:rPr>
          <w:rFonts w:eastAsia="Times New Roman" w:cs="Calibri"/>
          <w:color w:val="000000"/>
          <w:szCs w:val="22"/>
        </w:rPr>
      </w:pPr>
    </w:p>
    <w:p w:rsidR="006C3769" w:rsidRPr="000C75FD" w:rsidRDefault="006C3769" w:rsidP="000C75FD">
      <w:r w:rsidRPr="000C75FD">
        <w:t>Pollutant Removal – No IWS</w:t>
      </w:r>
    </w:p>
    <w:p w:rsidR="006C3769" w:rsidRPr="000C75FD" w:rsidRDefault="006C3769" w:rsidP="000C75FD">
      <w:r w:rsidRPr="000C75FD">
        <w:t>45% Total Phosphorus</w:t>
      </w:r>
    </w:p>
    <w:p w:rsidR="006C3769" w:rsidRPr="000C75FD" w:rsidRDefault="006C3769" w:rsidP="000C75FD"/>
    <w:p w:rsidR="006C3769" w:rsidRPr="000C75FD" w:rsidRDefault="006C3769" w:rsidP="000C75FD">
      <w:r w:rsidRPr="000C75FD">
        <w:t>Pollutant Removal – with IWS</w:t>
      </w:r>
    </w:p>
    <w:p w:rsidR="006C3769" w:rsidRPr="000C75FD" w:rsidRDefault="006C3769" w:rsidP="000C75FD">
      <w:r w:rsidRPr="000C75FD">
        <w:t>Coastal Plain &amp; Sand Hills</w:t>
      </w:r>
    </w:p>
    <w:p w:rsidR="006C3769" w:rsidRPr="000C75FD" w:rsidRDefault="006C3769" w:rsidP="000C75FD">
      <w:r w:rsidRPr="000C75FD">
        <w:t>60%Total Phosphorus</w:t>
      </w:r>
    </w:p>
    <w:p w:rsidR="006C3769" w:rsidRPr="000C75FD" w:rsidRDefault="006C3769" w:rsidP="000C75FD"/>
    <w:p w:rsidR="006C3769" w:rsidRPr="000C75FD" w:rsidRDefault="006C3769" w:rsidP="000C75FD">
      <w:r w:rsidRPr="000C75FD">
        <w:t>Pollutant Removal – with IWS</w:t>
      </w:r>
    </w:p>
    <w:p w:rsidR="006C3769" w:rsidRPr="000C75FD" w:rsidRDefault="006C3769" w:rsidP="000C75FD">
      <w:r w:rsidRPr="000C75FD">
        <w:t>Piedmont &amp; Mountains Counties (clay soils)</w:t>
      </w:r>
    </w:p>
    <w:p w:rsidR="006C3769" w:rsidRPr="000C75FD" w:rsidRDefault="006C3769" w:rsidP="000C75FD">
      <w:r w:rsidRPr="000C75FD">
        <w:t>45%Total Phosphorus</w:t>
      </w:r>
    </w:p>
    <w:p w:rsidR="006C3769" w:rsidRDefault="006C3769" w:rsidP="006C3769"/>
    <w:p w:rsidR="008A4C8F" w:rsidRDefault="008A4C8F" w:rsidP="006C3769">
      <w:pPr>
        <w:rPr>
          <w:b/>
          <w:color w:val="00B0F0"/>
          <w:sz w:val="28"/>
          <w:szCs w:val="28"/>
        </w:rPr>
      </w:pPr>
      <w:r>
        <w:rPr>
          <w:b/>
          <w:color w:val="00B0F0"/>
          <w:sz w:val="28"/>
          <w:szCs w:val="28"/>
        </w:rPr>
        <w:t>Virginia</w:t>
      </w:r>
    </w:p>
    <w:p w:rsidR="008A4C8F" w:rsidRPr="008A4C8F" w:rsidRDefault="008A4C8F" w:rsidP="008A4C8F">
      <w:pPr>
        <w:spacing w:before="100" w:beforeAutospacing="1" w:after="100" w:afterAutospacing="1"/>
        <w:jc w:val="center"/>
        <w:rPr>
          <w:rFonts w:ascii="Times New Roman" w:eastAsia="Times New Roman" w:hAnsi="Times New Roman"/>
          <w:sz w:val="24"/>
        </w:rPr>
      </w:pPr>
      <w:proofErr w:type="gramStart"/>
      <w:r w:rsidRPr="008A4C8F">
        <w:rPr>
          <w:rFonts w:ascii="Arial" w:eastAsia="Times New Roman" w:hAnsi="Arial" w:cs="Arial"/>
          <w:b/>
          <w:bCs/>
          <w:i/>
          <w:iCs/>
          <w:sz w:val="20"/>
          <w:szCs w:val="20"/>
        </w:rPr>
        <w:t>Table 9.1.</w:t>
      </w:r>
      <w:proofErr w:type="gramEnd"/>
      <w:r w:rsidRPr="008A4C8F">
        <w:rPr>
          <w:rFonts w:ascii="Arial" w:eastAsia="Times New Roman" w:hAnsi="Arial" w:cs="Arial"/>
          <w:b/>
          <w:bCs/>
          <w:i/>
          <w:iCs/>
          <w:sz w:val="20"/>
          <w:szCs w:val="20"/>
        </w:rPr>
        <w:t xml:space="preserve"> Summary of Stormwater Functions Provided by Bioretention Basins</w:t>
      </w:r>
      <w:r w:rsidRPr="008A4C8F">
        <w:rPr>
          <w:rFonts w:ascii="Times New Roman" w:eastAsia="Times New Roman" w:hAnsi="Times New Roman"/>
          <w:sz w:val="24"/>
        </w:rPr>
        <w:t xml:space="preserve"> </w:t>
      </w:r>
    </w:p>
    <w:tbl>
      <w:tblPr>
        <w:tblW w:w="939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924"/>
        <w:gridCol w:w="2233"/>
        <w:gridCol w:w="2233"/>
      </w:tblGrid>
      <w:tr w:rsidR="008A4C8F" w:rsidRPr="008A4C8F" w:rsidTr="008A4C8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A4C8F" w:rsidRPr="008A4C8F" w:rsidRDefault="008A4C8F" w:rsidP="008A4C8F">
            <w:pPr>
              <w:jc w:val="center"/>
              <w:rPr>
                <w:rFonts w:ascii="Times New Roman" w:eastAsia="Times New Roman" w:hAnsi="Times New Roman"/>
                <w:sz w:val="24"/>
              </w:rPr>
            </w:pPr>
            <w:r w:rsidRPr="008A4C8F">
              <w:rPr>
                <w:rFonts w:ascii="Arial" w:eastAsia="Times New Roman" w:hAnsi="Arial" w:cs="Arial"/>
                <w:b/>
                <w:bCs/>
                <w:sz w:val="20"/>
                <w:szCs w:val="20"/>
              </w:rPr>
              <w:t>Stormwater Function</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A4C8F" w:rsidRPr="008A4C8F" w:rsidRDefault="008A4C8F" w:rsidP="008A4C8F">
            <w:pPr>
              <w:jc w:val="center"/>
              <w:rPr>
                <w:rFonts w:ascii="Times New Roman" w:eastAsia="Times New Roman" w:hAnsi="Times New Roman"/>
                <w:sz w:val="24"/>
              </w:rPr>
            </w:pPr>
            <w:r w:rsidRPr="008A4C8F">
              <w:rPr>
                <w:rFonts w:ascii="Arial" w:eastAsia="Times New Roman" w:hAnsi="Arial" w:cs="Arial"/>
                <w:b/>
                <w:bCs/>
                <w:sz w:val="20"/>
                <w:szCs w:val="20"/>
              </w:rPr>
              <w:t>Level 1 Design</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A4C8F" w:rsidRPr="008A4C8F" w:rsidRDefault="008A4C8F" w:rsidP="008A4C8F">
            <w:pPr>
              <w:jc w:val="center"/>
              <w:rPr>
                <w:rFonts w:ascii="Times New Roman" w:eastAsia="Times New Roman" w:hAnsi="Times New Roman"/>
                <w:sz w:val="24"/>
              </w:rPr>
            </w:pPr>
            <w:r w:rsidRPr="008A4C8F">
              <w:rPr>
                <w:rFonts w:ascii="Arial" w:eastAsia="Times New Roman" w:hAnsi="Arial" w:cs="Arial"/>
                <w:b/>
                <w:bCs/>
                <w:sz w:val="20"/>
                <w:szCs w:val="20"/>
              </w:rPr>
              <w:t>Level 2 Design</w:t>
            </w:r>
          </w:p>
        </w:tc>
      </w:tr>
      <w:tr w:rsidR="008A4C8F" w:rsidRPr="008A4C8F" w:rsidTr="008A4C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b/>
                <w:bCs/>
                <w:sz w:val="20"/>
                <w:szCs w:val="20"/>
              </w:rPr>
              <w:t xml:space="preserve">Total Phosphorus (TP) Removal </w:t>
            </w:r>
            <w:r w:rsidRPr="008A4C8F">
              <w:rPr>
                <w:rFonts w:ascii="Arial" w:eastAsia="Times New Roman" w:hAnsi="Arial" w:cs="Arial"/>
                <w:b/>
                <w:bCs/>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jc w:val="center"/>
              <w:rPr>
                <w:rFonts w:ascii="Times New Roman" w:eastAsia="Times New Roman" w:hAnsi="Times New Roman"/>
                <w:sz w:val="24"/>
              </w:rPr>
            </w:pPr>
            <w:r w:rsidRPr="008A4C8F">
              <w:rPr>
                <w:rFonts w:ascii="Arial" w:eastAsia="Times New Roman" w:hAnsi="Arial" w:cs="Arial"/>
                <w:sz w:val="20"/>
                <w:szCs w:val="20"/>
              </w:rPr>
              <w:t>25%</w:t>
            </w:r>
          </w:p>
        </w:tc>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jc w:val="center"/>
              <w:rPr>
                <w:rFonts w:ascii="Times New Roman" w:eastAsia="Times New Roman" w:hAnsi="Times New Roman"/>
                <w:sz w:val="24"/>
              </w:rPr>
            </w:pPr>
            <w:r w:rsidRPr="008A4C8F">
              <w:rPr>
                <w:rFonts w:ascii="Arial" w:eastAsia="Times New Roman" w:hAnsi="Arial" w:cs="Arial"/>
                <w:sz w:val="20"/>
                <w:szCs w:val="20"/>
              </w:rPr>
              <w:t>50%</w:t>
            </w:r>
          </w:p>
        </w:tc>
      </w:tr>
    </w:tbl>
    <w:p w:rsidR="008A4C8F" w:rsidRDefault="008A4C8F" w:rsidP="006C3769">
      <w:pPr>
        <w:rPr>
          <w:b/>
          <w:color w:val="00B0F0"/>
          <w:sz w:val="28"/>
          <w:szCs w:val="28"/>
        </w:rPr>
      </w:pPr>
    </w:p>
    <w:tbl>
      <w:tblPr>
        <w:tblW w:w="93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160"/>
        <w:gridCol w:w="5200"/>
      </w:tblGrid>
      <w:tr w:rsidR="008A4C8F" w:rsidRPr="008A4C8F" w:rsidTr="008A4C8F">
        <w:trPr>
          <w:trHeight w:val="22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A4C8F" w:rsidRPr="008A4C8F" w:rsidRDefault="008A4C8F" w:rsidP="008A4C8F">
            <w:pPr>
              <w:spacing w:line="225" w:lineRule="atLeast"/>
              <w:jc w:val="center"/>
              <w:rPr>
                <w:rFonts w:ascii="Times New Roman" w:eastAsia="Times New Roman" w:hAnsi="Times New Roman"/>
                <w:sz w:val="24"/>
              </w:rPr>
            </w:pPr>
            <w:r w:rsidRPr="008A4C8F">
              <w:rPr>
                <w:rFonts w:ascii="Arial" w:eastAsia="Times New Roman" w:hAnsi="Arial" w:cs="Arial"/>
                <w:b/>
                <w:bCs/>
                <w:sz w:val="20"/>
                <w:szCs w:val="20"/>
              </w:rPr>
              <w:t>Level 1 Design (RR 40 TP: 25 )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A4C8F" w:rsidRPr="008A4C8F" w:rsidRDefault="008A4C8F" w:rsidP="008A4C8F">
            <w:pPr>
              <w:spacing w:line="225" w:lineRule="atLeast"/>
              <w:jc w:val="center"/>
              <w:rPr>
                <w:rFonts w:ascii="Times New Roman" w:eastAsia="Times New Roman" w:hAnsi="Times New Roman"/>
                <w:sz w:val="24"/>
              </w:rPr>
            </w:pPr>
            <w:r w:rsidRPr="008A4C8F">
              <w:rPr>
                <w:rFonts w:ascii="Arial" w:eastAsia="Times New Roman" w:hAnsi="Arial" w:cs="Arial"/>
                <w:b/>
                <w:bCs/>
                <w:sz w:val="20"/>
                <w:szCs w:val="20"/>
              </w:rPr>
              <w:t>Level 2 Design (RR: 80 TP: 50)</w:t>
            </w:r>
          </w:p>
        </w:tc>
      </w:tr>
      <w:tr w:rsidR="008A4C8F" w:rsidRPr="008A4C8F" w:rsidTr="008A4C8F">
        <w:trPr>
          <w:trHeight w:val="57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Sizing (</w:t>
            </w:r>
            <w:r w:rsidRPr="008A4C8F">
              <w:rPr>
                <w:rFonts w:ascii="Arial" w:eastAsia="Times New Roman" w:hAnsi="Arial" w:cs="Arial"/>
                <w:b/>
                <w:bCs/>
                <w:sz w:val="20"/>
                <w:szCs w:val="20"/>
                <w:u w:val="single"/>
              </w:rPr>
              <w:t>Section 6.1</w:t>
            </w:r>
            <w:r w:rsidRPr="008A4C8F">
              <w:rPr>
                <w:rFonts w:ascii="Arial" w:eastAsia="Times New Roman" w:hAnsi="Arial" w:cs="Arial"/>
                <w:sz w:val="20"/>
                <w:szCs w:val="20"/>
                <w:u w:val="single"/>
              </w:rPr>
              <w:t>):</w:t>
            </w:r>
            <w:r w:rsidRPr="008A4C8F">
              <w:rPr>
                <w:rFonts w:ascii="Times New Roman" w:eastAsia="Times New Roman" w:hAnsi="Times New Roman"/>
                <w:sz w:val="24"/>
              </w:rPr>
              <w:t xml:space="preserve"> </w:t>
            </w:r>
          </w:p>
          <w:p w:rsidR="008A4C8F" w:rsidRPr="008A4C8F" w:rsidRDefault="008A4C8F" w:rsidP="008A4C8F">
            <w:pPr>
              <w:spacing w:before="100" w:beforeAutospacing="1" w:after="100" w:afterAutospacing="1"/>
              <w:rPr>
                <w:rFonts w:ascii="Times New Roman" w:eastAsia="Times New Roman" w:hAnsi="Times New Roman"/>
                <w:sz w:val="24"/>
              </w:rPr>
            </w:pPr>
            <w:r w:rsidRPr="008A4C8F">
              <w:rPr>
                <w:rFonts w:ascii="Arial" w:eastAsia="Times New Roman" w:hAnsi="Arial" w:cs="Arial"/>
                <w:sz w:val="20"/>
                <w:szCs w:val="20"/>
              </w:rPr>
              <w:t>Surface Area (sq. ft.) = (T</w:t>
            </w:r>
            <w:r w:rsidRPr="008A4C8F">
              <w:rPr>
                <w:rFonts w:ascii="Arial" w:eastAsia="Times New Roman" w:hAnsi="Arial" w:cs="Arial"/>
                <w:sz w:val="24"/>
                <w:vertAlign w:val="subscript"/>
              </w:rPr>
              <w:t>v</w:t>
            </w:r>
            <w:r w:rsidRPr="008A4C8F">
              <w:rPr>
                <w:rFonts w:ascii="Arial" w:eastAsia="Times New Roman" w:hAnsi="Arial" w:cs="Arial"/>
                <w:sz w:val="24"/>
              </w:rPr>
              <w:t xml:space="preserve"> </w:t>
            </w:r>
            <w:r w:rsidRPr="008A4C8F">
              <w:rPr>
                <w:rFonts w:ascii="Arial" w:eastAsia="Times New Roman" w:hAnsi="Arial" w:cs="Arial"/>
                <w:sz w:val="20"/>
                <w:szCs w:val="20"/>
              </w:rPr>
              <w:t xml:space="preserve">- the volume reduced by an upstream BMP) / Storage Depth </w:t>
            </w:r>
            <w:r w:rsidRPr="008A4C8F">
              <w:rPr>
                <w:rFonts w:ascii="Arial" w:eastAsia="Times New Roman" w:hAnsi="Arial" w:cs="Arial"/>
                <w:sz w:val="24"/>
                <w:vertAlign w:val="superscript"/>
              </w:rPr>
              <w:t>1</w:t>
            </w:r>
          </w:p>
        </w:tc>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Sizing (</w:t>
            </w:r>
            <w:r w:rsidRPr="008A4C8F">
              <w:rPr>
                <w:rFonts w:ascii="Arial" w:eastAsia="Times New Roman" w:hAnsi="Arial" w:cs="Arial"/>
                <w:b/>
                <w:bCs/>
                <w:sz w:val="20"/>
                <w:szCs w:val="20"/>
                <w:u w:val="single"/>
              </w:rPr>
              <w:t>Section 6.1</w:t>
            </w:r>
            <w:r w:rsidRPr="008A4C8F">
              <w:rPr>
                <w:rFonts w:ascii="Arial" w:eastAsia="Times New Roman" w:hAnsi="Arial" w:cs="Arial"/>
                <w:sz w:val="20"/>
                <w:szCs w:val="20"/>
                <w:u w:val="single"/>
              </w:rPr>
              <w:t>):</w:t>
            </w:r>
            <w:r w:rsidRPr="008A4C8F">
              <w:rPr>
                <w:rFonts w:ascii="Times New Roman" w:eastAsia="Times New Roman" w:hAnsi="Times New Roman"/>
                <w:sz w:val="24"/>
              </w:rPr>
              <w:t xml:space="preserve"> </w:t>
            </w:r>
          </w:p>
          <w:p w:rsidR="008A4C8F" w:rsidRPr="008A4C8F" w:rsidRDefault="008A4C8F" w:rsidP="008A4C8F">
            <w:pPr>
              <w:spacing w:before="100" w:beforeAutospacing="1" w:after="100" w:afterAutospacing="1"/>
              <w:rPr>
                <w:rFonts w:ascii="Times New Roman" w:eastAsia="Times New Roman" w:hAnsi="Times New Roman"/>
                <w:sz w:val="24"/>
              </w:rPr>
            </w:pPr>
            <w:r w:rsidRPr="008A4C8F">
              <w:rPr>
                <w:rFonts w:ascii="Arial" w:eastAsia="Times New Roman" w:hAnsi="Arial" w:cs="Arial"/>
                <w:sz w:val="20"/>
                <w:szCs w:val="20"/>
              </w:rPr>
              <w:t>Surface Area (sq. ft.) = [(1.25)(T</w:t>
            </w:r>
            <w:r w:rsidRPr="008A4C8F">
              <w:rPr>
                <w:rFonts w:ascii="Arial" w:eastAsia="Times New Roman" w:hAnsi="Arial" w:cs="Arial"/>
                <w:sz w:val="24"/>
                <w:vertAlign w:val="subscript"/>
              </w:rPr>
              <w:t>v</w:t>
            </w:r>
            <w:r w:rsidRPr="008A4C8F">
              <w:rPr>
                <w:rFonts w:ascii="Arial" w:eastAsia="Times New Roman" w:hAnsi="Arial" w:cs="Arial"/>
                <w:sz w:val="20"/>
                <w:szCs w:val="20"/>
              </w:rPr>
              <w:t xml:space="preserve">) - the volume reduced by an upstream BMP] /Storage Depth </w:t>
            </w:r>
            <w:r w:rsidRPr="008A4C8F">
              <w:rPr>
                <w:rFonts w:ascii="Arial" w:eastAsia="Times New Roman" w:hAnsi="Arial" w:cs="Arial"/>
                <w:sz w:val="24"/>
                <w:vertAlign w:val="superscript"/>
              </w:rPr>
              <w:t>1</w:t>
            </w:r>
          </w:p>
        </w:tc>
      </w:tr>
      <w:tr w:rsidR="008A4C8F" w:rsidRPr="008A4C8F" w:rsidTr="008A4C8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jc w:val="center"/>
              <w:rPr>
                <w:rFonts w:ascii="Times New Roman" w:eastAsia="Times New Roman" w:hAnsi="Times New Roman"/>
                <w:sz w:val="24"/>
              </w:rPr>
            </w:pPr>
            <w:r w:rsidRPr="008A4C8F">
              <w:rPr>
                <w:rFonts w:ascii="Arial" w:eastAsia="Times New Roman" w:hAnsi="Arial" w:cs="Arial"/>
                <w:sz w:val="20"/>
                <w:szCs w:val="20"/>
              </w:rPr>
              <w:t>Recommended maximum contributing drainage area = 2.5 acres</w:t>
            </w:r>
          </w:p>
        </w:tc>
      </w:tr>
      <w:tr w:rsidR="008A4C8F" w:rsidRPr="008A4C8F" w:rsidTr="008A4C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Maximum Ponding Depth</w:t>
            </w:r>
            <w:r w:rsidRPr="008A4C8F">
              <w:rPr>
                <w:rFonts w:ascii="Arial" w:eastAsia="Times New Roman" w:hAnsi="Arial" w:cs="Arial"/>
                <w:sz w:val="20"/>
                <w:szCs w:val="20"/>
              </w:rPr>
              <w:t xml:space="preserve"> = 6 to 12 inches </w:t>
            </w:r>
            <w:r w:rsidRPr="008A4C8F">
              <w:rPr>
                <w:rFonts w:ascii="Arial" w:eastAsia="Times New Roman" w:hAnsi="Arial" w:cs="Arial"/>
                <w:sz w:val="24"/>
                <w:vertAlign w:val="superscript"/>
              </w:rPr>
              <w:t>2</w:t>
            </w:r>
          </w:p>
        </w:tc>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Maximum Ponding Depth</w:t>
            </w:r>
            <w:r w:rsidRPr="008A4C8F">
              <w:rPr>
                <w:rFonts w:ascii="Arial" w:eastAsia="Times New Roman" w:hAnsi="Arial" w:cs="Arial"/>
                <w:sz w:val="20"/>
                <w:szCs w:val="20"/>
              </w:rPr>
              <w:t xml:space="preserve"> = 6 to 12 inches </w:t>
            </w:r>
            <w:r w:rsidRPr="008A4C8F">
              <w:rPr>
                <w:rFonts w:ascii="Arial" w:eastAsia="Times New Roman" w:hAnsi="Arial" w:cs="Arial"/>
                <w:sz w:val="24"/>
                <w:vertAlign w:val="superscript"/>
              </w:rPr>
              <w:t>2</w:t>
            </w:r>
          </w:p>
        </w:tc>
      </w:tr>
      <w:tr w:rsidR="008A4C8F" w:rsidRPr="008A4C8F" w:rsidTr="008A4C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Filter Media Depth</w:t>
            </w:r>
            <w:r w:rsidRPr="008A4C8F">
              <w:rPr>
                <w:rFonts w:ascii="Arial" w:eastAsia="Times New Roman" w:hAnsi="Arial" w:cs="Arial"/>
                <w:sz w:val="20"/>
                <w:szCs w:val="20"/>
              </w:rPr>
              <w:t xml:space="preserve"> minimum = 24 inches; recommended maximum = 6 feet</w:t>
            </w:r>
          </w:p>
        </w:tc>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Filter Media Depth</w:t>
            </w:r>
            <w:r w:rsidRPr="008A4C8F">
              <w:rPr>
                <w:rFonts w:ascii="Arial" w:eastAsia="Times New Roman" w:hAnsi="Arial" w:cs="Arial"/>
                <w:sz w:val="20"/>
                <w:szCs w:val="20"/>
              </w:rPr>
              <w:t xml:space="preserve"> minimum = 36 inches; recommended maximum = 6 feet</w:t>
            </w:r>
          </w:p>
        </w:tc>
      </w:tr>
      <w:tr w:rsidR="008A4C8F" w:rsidRPr="008A4C8F" w:rsidTr="008A4C8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jc w:val="center"/>
              <w:rPr>
                <w:rFonts w:ascii="Times New Roman" w:eastAsia="Times New Roman" w:hAnsi="Times New Roman"/>
                <w:sz w:val="24"/>
              </w:rPr>
            </w:pPr>
            <w:r w:rsidRPr="008A4C8F">
              <w:rPr>
                <w:rFonts w:ascii="Arial" w:eastAsia="Times New Roman" w:hAnsi="Arial" w:cs="Arial"/>
                <w:sz w:val="20"/>
                <w:szCs w:val="20"/>
                <w:u w:val="single"/>
              </w:rPr>
              <w:t>Media &amp; Surface Cover (</w:t>
            </w:r>
            <w:r w:rsidRPr="008A4C8F">
              <w:rPr>
                <w:rFonts w:ascii="Arial" w:eastAsia="Times New Roman" w:hAnsi="Arial" w:cs="Arial"/>
                <w:b/>
                <w:bCs/>
                <w:sz w:val="20"/>
                <w:szCs w:val="20"/>
                <w:u w:val="single"/>
              </w:rPr>
              <w:t>Section 6.6</w:t>
            </w:r>
            <w:r w:rsidRPr="008A4C8F">
              <w:rPr>
                <w:rFonts w:ascii="Arial" w:eastAsia="Times New Roman" w:hAnsi="Arial" w:cs="Arial"/>
                <w:sz w:val="20"/>
                <w:szCs w:val="20"/>
                <w:u w:val="single"/>
              </w:rPr>
              <w:t>)</w:t>
            </w:r>
            <w:r w:rsidRPr="008A4C8F">
              <w:rPr>
                <w:rFonts w:ascii="Arial" w:eastAsia="Times New Roman" w:hAnsi="Arial" w:cs="Arial"/>
                <w:sz w:val="20"/>
                <w:szCs w:val="20"/>
              </w:rPr>
              <w:t xml:space="preserve"> = supplied by vendor; tested for acceptable phosphorus index</w:t>
            </w:r>
            <w:r w:rsidRPr="008A4C8F">
              <w:rPr>
                <w:rFonts w:ascii="Arial" w:eastAsia="Times New Roman" w:hAnsi="Arial" w:cs="Arial"/>
                <w:sz w:val="20"/>
                <w:szCs w:val="20"/>
              </w:rPr>
              <w:br/>
              <w:t xml:space="preserve">(P-Index) of between 10 and 30, </w:t>
            </w:r>
            <w:r w:rsidRPr="008A4C8F">
              <w:rPr>
                <w:rFonts w:ascii="Arial" w:eastAsia="Times New Roman" w:hAnsi="Arial" w:cs="Arial"/>
                <w:b/>
                <w:bCs/>
                <w:i/>
                <w:iCs/>
                <w:sz w:val="20"/>
                <w:szCs w:val="20"/>
              </w:rPr>
              <w:t>OR</w:t>
            </w:r>
            <w:r w:rsidRPr="008A4C8F">
              <w:rPr>
                <w:rFonts w:ascii="Arial" w:eastAsia="Times New Roman" w:hAnsi="Arial" w:cs="Arial"/>
                <w:b/>
                <w:bCs/>
                <w:i/>
                <w:iCs/>
                <w:sz w:val="20"/>
                <w:szCs w:val="20"/>
              </w:rPr>
              <w:br/>
            </w:r>
            <w:r w:rsidRPr="008A4C8F">
              <w:rPr>
                <w:rFonts w:ascii="Arial" w:eastAsia="Times New Roman" w:hAnsi="Arial" w:cs="Arial"/>
                <w:sz w:val="20"/>
                <w:szCs w:val="20"/>
              </w:rPr>
              <w:t>Between 7 and 21 mg/kg of P in the soil media</w:t>
            </w:r>
          </w:p>
        </w:tc>
      </w:tr>
      <w:tr w:rsidR="008A4C8F" w:rsidRPr="008A4C8F" w:rsidTr="008A4C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lastRenderedPageBreak/>
              <w:t>Sub-soil Testing (</w:t>
            </w:r>
            <w:r w:rsidRPr="008A4C8F">
              <w:rPr>
                <w:rFonts w:ascii="Arial" w:eastAsia="Times New Roman" w:hAnsi="Arial" w:cs="Arial"/>
                <w:b/>
                <w:bCs/>
                <w:sz w:val="20"/>
                <w:szCs w:val="20"/>
                <w:u w:val="single"/>
              </w:rPr>
              <w:t>Section 6.2</w:t>
            </w:r>
            <w:r w:rsidRPr="008A4C8F">
              <w:rPr>
                <w:rFonts w:ascii="Arial" w:eastAsia="Times New Roman" w:hAnsi="Arial" w:cs="Arial"/>
                <w:sz w:val="20"/>
                <w:szCs w:val="20"/>
                <w:u w:val="single"/>
              </w:rPr>
              <w:t xml:space="preserve">): </w:t>
            </w:r>
            <w:r w:rsidRPr="008A4C8F">
              <w:rPr>
                <w:rFonts w:ascii="Arial" w:eastAsia="Times New Roman" w:hAnsi="Arial" w:cs="Arial"/>
                <w:sz w:val="20"/>
                <w:szCs w:val="20"/>
              </w:rPr>
              <w:t>not needed if an underdrain used; Min infiltration rate &gt; 1/2 inch/hour in order to remove the underdrain requirement.</w:t>
            </w:r>
          </w:p>
        </w:tc>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Sub-soil Testing (</w:t>
            </w:r>
            <w:r w:rsidRPr="008A4C8F">
              <w:rPr>
                <w:rFonts w:ascii="Arial" w:eastAsia="Times New Roman" w:hAnsi="Arial" w:cs="Arial"/>
                <w:b/>
                <w:bCs/>
                <w:sz w:val="20"/>
                <w:szCs w:val="20"/>
                <w:u w:val="single"/>
              </w:rPr>
              <w:t>Section 6.2</w:t>
            </w:r>
            <w:r w:rsidRPr="008A4C8F">
              <w:rPr>
                <w:rFonts w:ascii="Arial" w:eastAsia="Times New Roman" w:hAnsi="Arial" w:cs="Arial"/>
                <w:sz w:val="20"/>
                <w:szCs w:val="20"/>
                <w:u w:val="single"/>
              </w:rPr>
              <w:t xml:space="preserve">): </w:t>
            </w:r>
            <w:r w:rsidRPr="008A4C8F">
              <w:rPr>
                <w:rFonts w:ascii="Arial" w:eastAsia="Times New Roman" w:hAnsi="Arial" w:cs="Arial"/>
                <w:sz w:val="20"/>
                <w:szCs w:val="20"/>
              </w:rPr>
              <w:t>one per 1,000 sq. ft. of filter surface; Min infiltration rate &gt; 1/2 inch/hour in order to remove the underdrain requirement.</w:t>
            </w:r>
          </w:p>
        </w:tc>
      </w:tr>
      <w:tr w:rsidR="008A4C8F" w:rsidRPr="008A4C8F" w:rsidTr="008A4C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Underdrain (</w:t>
            </w:r>
            <w:r w:rsidRPr="008A4C8F">
              <w:rPr>
                <w:rFonts w:ascii="Arial" w:eastAsia="Times New Roman" w:hAnsi="Arial" w:cs="Arial"/>
                <w:b/>
                <w:bCs/>
                <w:sz w:val="20"/>
                <w:szCs w:val="20"/>
                <w:u w:val="single"/>
              </w:rPr>
              <w:t>Section 6.7</w:t>
            </w:r>
            <w:r w:rsidRPr="008A4C8F">
              <w:rPr>
                <w:rFonts w:ascii="Arial" w:eastAsia="Times New Roman" w:hAnsi="Arial" w:cs="Arial"/>
                <w:sz w:val="20"/>
                <w:szCs w:val="20"/>
                <w:u w:val="single"/>
              </w:rPr>
              <w:t>)</w:t>
            </w:r>
            <w:r w:rsidRPr="008A4C8F">
              <w:rPr>
                <w:rFonts w:ascii="Arial" w:eastAsia="Times New Roman" w:hAnsi="Arial" w:cs="Arial"/>
                <w:sz w:val="20"/>
                <w:szCs w:val="20"/>
              </w:rPr>
              <w:t xml:space="preserve"> = Schedule 40 PVC with clean-outs </w:t>
            </w:r>
          </w:p>
        </w:tc>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Underdrain &amp; Underground Storage Layer (</w:t>
            </w:r>
            <w:r w:rsidRPr="008A4C8F">
              <w:rPr>
                <w:rFonts w:ascii="Arial" w:eastAsia="Times New Roman" w:hAnsi="Arial" w:cs="Arial"/>
                <w:b/>
                <w:bCs/>
                <w:sz w:val="20"/>
                <w:szCs w:val="20"/>
                <w:u w:val="single"/>
              </w:rPr>
              <w:t>Section 6.7</w:t>
            </w:r>
            <w:r w:rsidRPr="008A4C8F">
              <w:rPr>
                <w:rFonts w:ascii="Arial" w:eastAsia="Times New Roman" w:hAnsi="Arial" w:cs="Arial"/>
                <w:sz w:val="20"/>
                <w:szCs w:val="20"/>
                <w:u w:val="single"/>
              </w:rPr>
              <w:t>)</w:t>
            </w:r>
            <w:r w:rsidRPr="008A4C8F">
              <w:rPr>
                <w:rFonts w:ascii="Arial" w:eastAsia="Times New Roman" w:hAnsi="Arial" w:cs="Arial"/>
                <w:sz w:val="20"/>
                <w:szCs w:val="20"/>
              </w:rPr>
              <w:t xml:space="preserve"> = Schedule 40 PVC with clean outs, and a minimum 12-inch stone sump below the invert; </w:t>
            </w:r>
            <w:r w:rsidRPr="008A4C8F">
              <w:rPr>
                <w:rFonts w:ascii="Arial" w:eastAsia="Times New Roman" w:hAnsi="Arial" w:cs="Arial"/>
                <w:b/>
                <w:bCs/>
                <w:i/>
                <w:iCs/>
                <w:sz w:val="20"/>
                <w:szCs w:val="20"/>
              </w:rPr>
              <w:t>OR</w:t>
            </w:r>
            <w:r w:rsidRPr="008A4C8F">
              <w:rPr>
                <w:rFonts w:ascii="Arial" w:eastAsia="Times New Roman" w:hAnsi="Arial" w:cs="Arial"/>
                <w:sz w:val="20"/>
                <w:szCs w:val="20"/>
              </w:rPr>
              <w:t>, none, if soil infiltration requirements are met (</w:t>
            </w:r>
            <w:r w:rsidRPr="008A4C8F">
              <w:rPr>
                <w:rFonts w:ascii="Arial" w:eastAsia="Times New Roman" w:hAnsi="Arial" w:cs="Arial"/>
                <w:b/>
                <w:bCs/>
                <w:sz w:val="20"/>
                <w:szCs w:val="20"/>
                <w:u w:val="single"/>
              </w:rPr>
              <w:t>Section 6</w:t>
            </w:r>
            <w:r w:rsidRPr="008A4C8F">
              <w:rPr>
                <w:rFonts w:ascii="Arial" w:eastAsia="Times New Roman" w:hAnsi="Arial" w:cs="Arial"/>
                <w:b/>
                <w:bCs/>
                <w:sz w:val="20"/>
                <w:szCs w:val="20"/>
              </w:rPr>
              <w:t>.2</w:t>
            </w:r>
            <w:r w:rsidRPr="008A4C8F">
              <w:rPr>
                <w:rFonts w:ascii="Arial" w:eastAsia="Times New Roman" w:hAnsi="Arial" w:cs="Arial"/>
                <w:sz w:val="20"/>
                <w:szCs w:val="20"/>
              </w:rPr>
              <w:t>)</w:t>
            </w:r>
          </w:p>
        </w:tc>
      </w:tr>
      <w:tr w:rsidR="008A4C8F" w:rsidRPr="008A4C8F" w:rsidTr="008A4C8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jc w:val="center"/>
              <w:rPr>
                <w:rFonts w:ascii="Times New Roman" w:eastAsia="Times New Roman" w:hAnsi="Times New Roman"/>
                <w:sz w:val="24"/>
              </w:rPr>
            </w:pPr>
            <w:r w:rsidRPr="008A4C8F">
              <w:rPr>
                <w:rFonts w:ascii="Arial" w:eastAsia="Times New Roman" w:hAnsi="Arial" w:cs="Arial"/>
                <w:sz w:val="20"/>
                <w:szCs w:val="20"/>
                <w:u w:val="single"/>
              </w:rPr>
              <w:t>Inflow</w:t>
            </w:r>
            <w:r w:rsidRPr="008A4C8F">
              <w:rPr>
                <w:rFonts w:ascii="Arial" w:eastAsia="Times New Roman" w:hAnsi="Arial" w:cs="Arial"/>
                <w:sz w:val="20"/>
                <w:szCs w:val="20"/>
              </w:rPr>
              <w:t>: sheetflow, curb cuts, trench drains, concentrated flow, or the equivalent</w:t>
            </w:r>
          </w:p>
        </w:tc>
      </w:tr>
      <w:tr w:rsidR="008A4C8F" w:rsidRPr="008A4C8F" w:rsidTr="008A4C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Geometry (</w:t>
            </w:r>
            <w:r w:rsidRPr="008A4C8F">
              <w:rPr>
                <w:rFonts w:ascii="Arial" w:eastAsia="Times New Roman" w:hAnsi="Arial" w:cs="Arial"/>
                <w:b/>
                <w:bCs/>
                <w:sz w:val="20"/>
                <w:szCs w:val="20"/>
                <w:u w:val="single"/>
              </w:rPr>
              <w:t>Section 6.3</w:t>
            </w:r>
            <w:r w:rsidRPr="008A4C8F">
              <w:rPr>
                <w:rFonts w:ascii="Arial" w:eastAsia="Times New Roman" w:hAnsi="Arial" w:cs="Arial"/>
                <w:sz w:val="20"/>
                <w:szCs w:val="20"/>
                <w:u w:val="single"/>
              </w:rPr>
              <w:t>)</w:t>
            </w:r>
            <w:proofErr w:type="gramStart"/>
            <w:r w:rsidRPr="008A4C8F">
              <w:rPr>
                <w:rFonts w:ascii="Arial" w:eastAsia="Times New Roman" w:hAnsi="Arial" w:cs="Arial"/>
                <w:sz w:val="20"/>
                <w:szCs w:val="20"/>
                <w:u w:val="single"/>
              </w:rPr>
              <w:t>:</w:t>
            </w:r>
            <w:proofErr w:type="gramEnd"/>
            <w:r w:rsidRPr="008A4C8F">
              <w:rPr>
                <w:rFonts w:ascii="Arial" w:eastAsia="Times New Roman" w:hAnsi="Arial" w:cs="Arial"/>
                <w:sz w:val="20"/>
                <w:szCs w:val="20"/>
                <w:u w:val="single"/>
              </w:rPr>
              <w:br/>
            </w:r>
            <w:r w:rsidRPr="008A4C8F">
              <w:rPr>
                <w:rFonts w:ascii="Arial" w:eastAsia="Times New Roman" w:hAnsi="Arial" w:cs="Arial"/>
                <w:sz w:val="20"/>
                <w:szCs w:val="20"/>
              </w:rPr>
              <w:t xml:space="preserve">Length of shortest flow path/Overall length = 0.3; </w:t>
            </w:r>
            <w:r w:rsidRPr="008A4C8F">
              <w:rPr>
                <w:rFonts w:ascii="Arial" w:eastAsia="Times New Roman" w:hAnsi="Arial" w:cs="Arial"/>
                <w:b/>
                <w:bCs/>
                <w:i/>
                <w:iCs/>
                <w:sz w:val="20"/>
                <w:szCs w:val="20"/>
              </w:rPr>
              <w:t>OR</w:t>
            </w:r>
            <w:r w:rsidRPr="008A4C8F">
              <w:rPr>
                <w:rFonts w:ascii="Arial" w:eastAsia="Times New Roman" w:hAnsi="Arial" w:cs="Arial"/>
                <w:sz w:val="20"/>
                <w:szCs w:val="20"/>
              </w:rPr>
              <w:t>, other design methods used to prevent short-circuiting; a one-cell design (not including the pre-treatment cell).</w:t>
            </w:r>
          </w:p>
        </w:tc>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Geometry (</w:t>
            </w:r>
            <w:r w:rsidRPr="008A4C8F">
              <w:rPr>
                <w:rFonts w:ascii="Arial" w:eastAsia="Times New Roman" w:hAnsi="Arial" w:cs="Arial"/>
                <w:b/>
                <w:bCs/>
                <w:sz w:val="20"/>
                <w:szCs w:val="20"/>
                <w:u w:val="single"/>
              </w:rPr>
              <w:t>Section 6.3</w:t>
            </w:r>
            <w:r w:rsidRPr="008A4C8F">
              <w:rPr>
                <w:rFonts w:ascii="Arial" w:eastAsia="Times New Roman" w:hAnsi="Arial" w:cs="Arial"/>
                <w:sz w:val="20"/>
                <w:szCs w:val="20"/>
                <w:u w:val="single"/>
              </w:rPr>
              <w:t>)</w:t>
            </w:r>
            <w:proofErr w:type="gramStart"/>
            <w:r w:rsidRPr="008A4C8F">
              <w:rPr>
                <w:rFonts w:ascii="Arial" w:eastAsia="Times New Roman" w:hAnsi="Arial" w:cs="Arial"/>
                <w:sz w:val="20"/>
                <w:szCs w:val="20"/>
                <w:u w:val="single"/>
              </w:rPr>
              <w:t>:</w:t>
            </w:r>
            <w:proofErr w:type="gramEnd"/>
            <w:r w:rsidRPr="008A4C8F">
              <w:rPr>
                <w:rFonts w:ascii="Arial" w:eastAsia="Times New Roman" w:hAnsi="Arial" w:cs="Arial"/>
                <w:sz w:val="20"/>
                <w:szCs w:val="20"/>
                <w:u w:val="single"/>
              </w:rPr>
              <w:br/>
            </w:r>
            <w:r w:rsidRPr="008A4C8F">
              <w:rPr>
                <w:rFonts w:ascii="Arial" w:eastAsia="Times New Roman" w:hAnsi="Arial" w:cs="Arial"/>
                <w:sz w:val="20"/>
                <w:szCs w:val="20"/>
              </w:rPr>
              <w:t xml:space="preserve">Length of shortest flow path/Overall length = 0.8; </w:t>
            </w:r>
            <w:r w:rsidRPr="008A4C8F">
              <w:rPr>
                <w:rFonts w:ascii="Arial" w:eastAsia="Times New Roman" w:hAnsi="Arial" w:cs="Arial"/>
                <w:b/>
                <w:bCs/>
                <w:i/>
                <w:iCs/>
                <w:sz w:val="20"/>
                <w:szCs w:val="20"/>
              </w:rPr>
              <w:t>OR</w:t>
            </w:r>
            <w:r w:rsidRPr="008A4C8F">
              <w:rPr>
                <w:rFonts w:ascii="Arial" w:eastAsia="Times New Roman" w:hAnsi="Arial" w:cs="Arial"/>
                <w:sz w:val="20"/>
                <w:szCs w:val="20"/>
              </w:rPr>
              <w:t>, other design methods used to prevent short-circuiting; a two-cell design (not including the pretreatment cell).</w:t>
            </w:r>
          </w:p>
        </w:tc>
      </w:tr>
      <w:tr w:rsidR="008A4C8F" w:rsidRPr="008A4C8F" w:rsidTr="008A4C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Pre-treatment (</w:t>
            </w:r>
            <w:r w:rsidRPr="008A4C8F">
              <w:rPr>
                <w:rFonts w:ascii="Arial" w:eastAsia="Times New Roman" w:hAnsi="Arial" w:cs="Arial"/>
                <w:b/>
                <w:bCs/>
                <w:sz w:val="20"/>
                <w:szCs w:val="20"/>
                <w:u w:val="single"/>
              </w:rPr>
              <w:t>Section 6.4</w:t>
            </w:r>
            <w:r w:rsidRPr="008A4C8F">
              <w:rPr>
                <w:rFonts w:ascii="Arial" w:eastAsia="Times New Roman" w:hAnsi="Arial" w:cs="Arial"/>
                <w:sz w:val="20"/>
                <w:szCs w:val="20"/>
                <w:u w:val="single"/>
              </w:rPr>
              <w:t>):</w:t>
            </w:r>
            <w:r w:rsidRPr="008A4C8F">
              <w:rPr>
                <w:rFonts w:ascii="Arial" w:eastAsia="Times New Roman" w:hAnsi="Arial" w:cs="Arial"/>
                <w:sz w:val="20"/>
                <w:szCs w:val="20"/>
              </w:rPr>
              <w:t xml:space="preserve"> a pretreatment cell, grass filter strip, gravel diaphragm, gravel flow spreader, or another approved (manufactured) pre-treatment structure.</w:t>
            </w:r>
          </w:p>
        </w:tc>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Pre-treatment (</w:t>
            </w:r>
            <w:r w:rsidRPr="008A4C8F">
              <w:rPr>
                <w:rFonts w:ascii="Arial" w:eastAsia="Times New Roman" w:hAnsi="Arial" w:cs="Arial"/>
                <w:b/>
                <w:bCs/>
                <w:sz w:val="20"/>
                <w:szCs w:val="20"/>
                <w:u w:val="single"/>
              </w:rPr>
              <w:t>Section 6.4</w:t>
            </w:r>
            <w:r w:rsidRPr="008A4C8F">
              <w:rPr>
                <w:rFonts w:ascii="Arial" w:eastAsia="Times New Roman" w:hAnsi="Arial" w:cs="Arial"/>
                <w:sz w:val="20"/>
                <w:szCs w:val="20"/>
                <w:u w:val="single"/>
              </w:rPr>
              <w:t>):</w:t>
            </w:r>
            <w:r w:rsidRPr="008A4C8F">
              <w:rPr>
                <w:rFonts w:ascii="Arial" w:eastAsia="Times New Roman" w:hAnsi="Arial" w:cs="Arial"/>
                <w:sz w:val="20"/>
                <w:szCs w:val="20"/>
              </w:rPr>
              <w:t xml:space="preserve"> a pretreatment cell </w:t>
            </w:r>
            <w:r w:rsidRPr="008A4C8F">
              <w:rPr>
                <w:rFonts w:ascii="Arial" w:eastAsia="Times New Roman" w:hAnsi="Arial" w:cs="Arial"/>
                <w:i/>
                <w:iCs/>
                <w:sz w:val="20"/>
                <w:szCs w:val="20"/>
              </w:rPr>
              <w:t>plus</w:t>
            </w:r>
            <w:r w:rsidRPr="008A4C8F">
              <w:rPr>
                <w:rFonts w:ascii="Arial" w:eastAsia="Times New Roman" w:hAnsi="Arial" w:cs="Arial"/>
                <w:sz w:val="20"/>
                <w:szCs w:val="20"/>
              </w:rPr>
              <w:t xml:space="preserve"> one of the following: a grass filter strip, gravel diaphragm, gravel flow spreader, or another approved (manufactured) pre-treatment structure.</w:t>
            </w:r>
          </w:p>
        </w:tc>
      </w:tr>
      <w:tr w:rsidR="008A4C8F" w:rsidRPr="008A4C8F" w:rsidTr="008A4C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Conveyance &amp; Overflow</w:t>
            </w:r>
            <w:r w:rsidRPr="008A4C8F">
              <w:rPr>
                <w:rFonts w:ascii="Arial" w:eastAsia="Times New Roman" w:hAnsi="Arial" w:cs="Arial"/>
                <w:sz w:val="20"/>
                <w:szCs w:val="20"/>
              </w:rPr>
              <w:t xml:space="preserve"> (</w:t>
            </w:r>
            <w:r w:rsidRPr="008A4C8F">
              <w:rPr>
                <w:rFonts w:ascii="Arial" w:eastAsia="Times New Roman" w:hAnsi="Arial" w:cs="Arial"/>
                <w:b/>
                <w:bCs/>
                <w:sz w:val="20"/>
                <w:szCs w:val="20"/>
                <w:u w:val="single"/>
              </w:rPr>
              <w:t>Section 6</w:t>
            </w:r>
            <w:r w:rsidRPr="008A4C8F">
              <w:rPr>
                <w:rFonts w:ascii="Arial" w:eastAsia="Times New Roman" w:hAnsi="Arial" w:cs="Arial"/>
                <w:b/>
                <w:bCs/>
                <w:sz w:val="20"/>
                <w:szCs w:val="20"/>
              </w:rPr>
              <w:t>.5</w:t>
            </w:r>
            <w:r w:rsidRPr="008A4C8F">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Conveyance &amp; Overflow</w:t>
            </w:r>
            <w:r w:rsidRPr="008A4C8F">
              <w:rPr>
                <w:rFonts w:ascii="Arial" w:eastAsia="Times New Roman" w:hAnsi="Arial" w:cs="Arial"/>
                <w:sz w:val="20"/>
                <w:szCs w:val="20"/>
              </w:rPr>
              <w:t xml:space="preserve"> (</w:t>
            </w:r>
            <w:r w:rsidRPr="008A4C8F">
              <w:rPr>
                <w:rFonts w:ascii="Arial" w:eastAsia="Times New Roman" w:hAnsi="Arial" w:cs="Arial"/>
                <w:b/>
                <w:bCs/>
                <w:sz w:val="20"/>
                <w:szCs w:val="20"/>
                <w:u w:val="single"/>
              </w:rPr>
              <w:t>Section 6</w:t>
            </w:r>
            <w:r w:rsidRPr="008A4C8F">
              <w:rPr>
                <w:rFonts w:ascii="Arial" w:eastAsia="Times New Roman" w:hAnsi="Arial" w:cs="Arial"/>
                <w:b/>
                <w:bCs/>
                <w:sz w:val="20"/>
                <w:szCs w:val="20"/>
              </w:rPr>
              <w:t>.5</w:t>
            </w:r>
            <w:r w:rsidRPr="008A4C8F">
              <w:rPr>
                <w:rFonts w:ascii="Arial" w:eastAsia="Times New Roman" w:hAnsi="Arial" w:cs="Arial"/>
                <w:sz w:val="20"/>
                <w:szCs w:val="20"/>
              </w:rPr>
              <w:t>)</w:t>
            </w:r>
          </w:p>
        </w:tc>
      </w:tr>
      <w:tr w:rsidR="008A4C8F" w:rsidRPr="008A4C8F" w:rsidTr="008A4C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Planting Plan (</w:t>
            </w:r>
            <w:r w:rsidRPr="008A4C8F">
              <w:rPr>
                <w:rFonts w:ascii="Arial" w:eastAsia="Times New Roman" w:hAnsi="Arial" w:cs="Arial"/>
                <w:b/>
                <w:bCs/>
                <w:sz w:val="20"/>
                <w:szCs w:val="20"/>
                <w:u w:val="single"/>
              </w:rPr>
              <w:t>Section 6.8</w:t>
            </w:r>
            <w:r w:rsidRPr="008A4C8F">
              <w:rPr>
                <w:rFonts w:ascii="Arial" w:eastAsia="Times New Roman" w:hAnsi="Arial" w:cs="Arial"/>
                <w:sz w:val="20"/>
                <w:szCs w:val="20"/>
                <w:u w:val="single"/>
              </w:rPr>
              <w:t>):</w:t>
            </w:r>
            <w:r w:rsidRPr="008A4C8F">
              <w:rPr>
                <w:rFonts w:ascii="Arial" w:eastAsia="Times New Roman" w:hAnsi="Arial" w:cs="Arial"/>
                <w:sz w:val="20"/>
                <w:szCs w:val="20"/>
              </w:rPr>
              <w:t xml:space="preserve"> a planting template to include turf, herbaceous vegetation, shrubs, and/or trees to achieve surface area coverage of at least 75% within 2 years.</w:t>
            </w:r>
          </w:p>
        </w:tc>
        <w:tc>
          <w:tcPr>
            <w:tcW w:w="0" w:type="auto"/>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rPr>
                <w:rFonts w:ascii="Times New Roman" w:eastAsia="Times New Roman" w:hAnsi="Times New Roman"/>
                <w:sz w:val="24"/>
              </w:rPr>
            </w:pPr>
            <w:r w:rsidRPr="008A4C8F">
              <w:rPr>
                <w:rFonts w:ascii="Arial" w:eastAsia="Times New Roman" w:hAnsi="Arial" w:cs="Arial"/>
                <w:sz w:val="20"/>
                <w:szCs w:val="20"/>
                <w:u w:val="single"/>
              </w:rPr>
              <w:t>Planting Plan (</w:t>
            </w:r>
            <w:r w:rsidRPr="008A4C8F">
              <w:rPr>
                <w:rFonts w:ascii="Arial" w:eastAsia="Times New Roman" w:hAnsi="Arial" w:cs="Arial"/>
                <w:b/>
                <w:bCs/>
                <w:sz w:val="20"/>
                <w:szCs w:val="20"/>
                <w:u w:val="single"/>
              </w:rPr>
              <w:t>Section 6.8</w:t>
            </w:r>
            <w:r w:rsidRPr="008A4C8F">
              <w:rPr>
                <w:rFonts w:ascii="Arial" w:eastAsia="Times New Roman" w:hAnsi="Arial" w:cs="Arial"/>
                <w:sz w:val="20"/>
                <w:szCs w:val="20"/>
                <w:u w:val="single"/>
              </w:rPr>
              <w:t>)</w:t>
            </w:r>
            <w:r w:rsidRPr="008A4C8F">
              <w:rPr>
                <w:rFonts w:ascii="Arial" w:eastAsia="Times New Roman" w:hAnsi="Arial" w:cs="Arial"/>
                <w:sz w:val="20"/>
                <w:szCs w:val="20"/>
              </w:rPr>
              <w:t xml:space="preserve">: a planting template to include turf, herbaceous vegetation, shrubs, and/or trees to achieve surface area coverage of at least 90% within 2 years. If using turf, must combine with other types of vegetation </w:t>
            </w:r>
            <w:r w:rsidRPr="008A4C8F">
              <w:rPr>
                <w:rFonts w:ascii="Arial" w:eastAsia="Times New Roman" w:hAnsi="Arial" w:cs="Arial"/>
                <w:sz w:val="24"/>
                <w:vertAlign w:val="superscript"/>
              </w:rPr>
              <w:t>1</w:t>
            </w:r>
            <w:r w:rsidRPr="008A4C8F">
              <w:rPr>
                <w:rFonts w:ascii="Arial" w:eastAsia="Times New Roman" w:hAnsi="Arial" w:cs="Arial"/>
                <w:sz w:val="20"/>
                <w:szCs w:val="20"/>
              </w:rPr>
              <w:t>.</w:t>
            </w:r>
          </w:p>
        </w:tc>
      </w:tr>
      <w:tr w:rsidR="008A4C8F" w:rsidRPr="008A4C8F" w:rsidTr="008A4C8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jc w:val="center"/>
              <w:rPr>
                <w:rFonts w:ascii="Times New Roman" w:eastAsia="Times New Roman" w:hAnsi="Times New Roman"/>
                <w:sz w:val="24"/>
              </w:rPr>
            </w:pPr>
            <w:r w:rsidRPr="008A4C8F">
              <w:rPr>
                <w:rFonts w:ascii="Arial" w:eastAsia="Times New Roman" w:hAnsi="Arial" w:cs="Arial"/>
                <w:sz w:val="20"/>
                <w:szCs w:val="20"/>
                <w:u w:val="single"/>
              </w:rPr>
              <w:t xml:space="preserve">Building Setbacks </w:t>
            </w:r>
            <w:r w:rsidRPr="008A4C8F">
              <w:rPr>
                <w:rFonts w:ascii="Arial" w:eastAsia="Times New Roman" w:hAnsi="Arial" w:cs="Arial"/>
                <w:sz w:val="24"/>
                <w:u w:val="single"/>
                <w:vertAlign w:val="superscript"/>
              </w:rPr>
              <w:t>3</w:t>
            </w:r>
            <w:r w:rsidRPr="008A4C8F">
              <w:rPr>
                <w:rFonts w:ascii="Arial" w:eastAsia="Times New Roman" w:hAnsi="Arial" w:cs="Arial"/>
                <w:sz w:val="20"/>
                <w:szCs w:val="20"/>
                <w:u w:val="single"/>
              </w:rPr>
              <w:t xml:space="preserve"> (</w:t>
            </w:r>
            <w:r w:rsidRPr="008A4C8F">
              <w:rPr>
                <w:rFonts w:ascii="Arial" w:eastAsia="Times New Roman" w:hAnsi="Arial" w:cs="Arial"/>
                <w:b/>
                <w:bCs/>
                <w:sz w:val="20"/>
                <w:szCs w:val="20"/>
                <w:u w:val="single"/>
              </w:rPr>
              <w:t>Section 5</w:t>
            </w:r>
            <w:r w:rsidRPr="008A4C8F">
              <w:rPr>
                <w:rFonts w:ascii="Arial" w:eastAsia="Times New Roman" w:hAnsi="Arial" w:cs="Arial"/>
                <w:sz w:val="20"/>
                <w:szCs w:val="20"/>
                <w:u w:val="single"/>
              </w:rPr>
              <w:t>):</w:t>
            </w:r>
            <w:r w:rsidRPr="008A4C8F">
              <w:rPr>
                <w:rFonts w:ascii="Times New Roman" w:eastAsia="Times New Roman" w:hAnsi="Times New Roman"/>
                <w:sz w:val="24"/>
              </w:rPr>
              <w:t xml:space="preserve"> </w:t>
            </w:r>
            <w:r w:rsidRPr="008A4C8F">
              <w:rPr>
                <w:rFonts w:ascii="Times New Roman" w:eastAsia="Times New Roman" w:hAnsi="Times New Roman"/>
                <w:sz w:val="24"/>
              </w:rPr>
              <w:br/>
            </w:r>
            <w:r w:rsidRPr="008A4C8F">
              <w:rPr>
                <w:rFonts w:ascii="Arial" w:eastAsia="Times New Roman" w:hAnsi="Arial" w:cs="Arial"/>
                <w:sz w:val="20"/>
                <w:szCs w:val="20"/>
              </w:rPr>
              <w:t>0 to 0.5 acre CDA = 10 feet if down-gradient from building or level (coastal plain); 50 feet if up-gradient.</w:t>
            </w:r>
            <w:r w:rsidRPr="008A4C8F">
              <w:rPr>
                <w:rFonts w:ascii="Arial" w:eastAsia="Times New Roman" w:hAnsi="Arial" w:cs="Arial"/>
                <w:sz w:val="20"/>
                <w:szCs w:val="20"/>
              </w:rPr>
              <w:br/>
              <w:t xml:space="preserve">0.5 to 2.5 acre CDA = 25 feet if down-gradient from building or level (coastal plain); 100 feet if up-gradient. (Refer to additional setback criteria in </w:t>
            </w:r>
            <w:r w:rsidRPr="008A4C8F">
              <w:rPr>
                <w:rFonts w:ascii="Arial" w:eastAsia="Times New Roman" w:hAnsi="Arial" w:cs="Arial"/>
                <w:b/>
                <w:bCs/>
                <w:sz w:val="20"/>
                <w:szCs w:val="20"/>
              </w:rPr>
              <w:t>Section 5</w:t>
            </w:r>
            <w:r w:rsidRPr="008A4C8F">
              <w:rPr>
                <w:rFonts w:ascii="Arial" w:eastAsia="Times New Roman" w:hAnsi="Arial" w:cs="Arial"/>
                <w:sz w:val="20"/>
                <w:szCs w:val="20"/>
              </w:rPr>
              <w:t>)</w:t>
            </w:r>
          </w:p>
        </w:tc>
      </w:tr>
      <w:tr w:rsidR="008A4C8F" w:rsidRPr="008A4C8F" w:rsidTr="008A4C8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jc w:val="center"/>
              <w:rPr>
                <w:rFonts w:ascii="Times New Roman" w:eastAsia="Times New Roman" w:hAnsi="Times New Roman"/>
                <w:sz w:val="24"/>
              </w:rPr>
            </w:pPr>
            <w:r w:rsidRPr="008A4C8F">
              <w:rPr>
                <w:rFonts w:ascii="Arial" w:eastAsia="Times New Roman" w:hAnsi="Arial" w:cs="Arial"/>
                <w:sz w:val="20"/>
                <w:szCs w:val="20"/>
                <w:u w:val="single"/>
              </w:rPr>
              <w:t>Deeded Maintenance O&amp;M Plan (</w:t>
            </w:r>
            <w:r w:rsidRPr="008A4C8F">
              <w:rPr>
                <w:rFonts w:ascii="Arial" w:eastAsia="Times New Roman" w:hAnsi="Arial" w:cs="Arial"/>
                <w:b/>
                <w:bCs/>
                <w:sz w:val="20"/>
                <w:szCs w:val="20"/>
                <w:u w:val="single"/>
              </w:rPr>
              <w:t>Section 8</w:t>
            </w:r>
            <w:r w:rsidRPr="008A4C8F">
              <w:rPr>
                <w:rFonts w:ascii="Arial" w:eastAsia="Times New Roman" w:hAnsi="Arial" w:cs="Arial"/>
                <w:sz w:val="20"/>
                <w:szCs w:val="20"/>
                <w:u w:val="single"/>
              </w:rPr>
              <w:t>)</w:t>
            </w:r>
          </w:p>
        </w:tc>
      </w:tr>
      <w:tr w:rsidR="008A4C8F" w:rsidRPr="008A4C8F" w:rsidTr="008A4C8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8A4C8F" w:rsidRPr="008A4C8F" w:rsidRDefault="008A4C8F" w:rsidP="008A4C8F">
            <w:pPr>
              <w:spacing w:before="100" w:beforeAutospacing="1" w:after="100" w:afterAutospacing="1"/>
              <w:rPr>
                <w:rFonts w:ascii="Times New Roman" w:eastAsia="Times New Roman" w:hAnsi="Times New Roman"/>
                <w:sz w:val="24"/>
              </w:rPr>
            </w:pPr>
            <w:r w:rsidRPr="008A4C8F">
              <w:rPr>
                <w:rFonts w:ascii="Arial" w:eastAsia="Times New Roman" w:hAnsi="Arial" w:cs="Arial"/>
                <w:sz w:val="24"/>
                <w:vertAlign w:val="superscript"/>
              </w:rPr>
              <w:t>1</w:t>
            </w:r>
            <w:r w:rsidRPr="008A4C8F">
              <w:rPr>
                <w:rFonts w:ascii="Arial" w:eastAsia="Times New Roman" w:hAnsi="Arial" w:cs="Arial"/>
                <w:sz w:val="20"/>
                <w:szCs w:val="20"/>
              </w:rPr>
              <w:t xml:space="preserve"> Storage depth is the sum of the Void Ratio (V</w:t>
            </w:r>
            <w:r w:rsidRPr="008A4C8F">
              <w:rPr>
                <w:rFonts w:ascii="Arial" w:eastAsia="Times New Roman" w:hAnsi="Arial" w:cs="Arial"/>
                <w:sz w:val="24"/>
                <w:vertAlign w:val="subscript"/>
              </w:rPr>
              <w:t>r</w:t>
            </w:r>
            <w:r w:rsidRPr="008A4C8F">
              <w:rPr>
                <w:rFonts w:ascii="Arial" w:eastAsia="Times New Roman" w:hAnsi="Arial" w:cs="Arial"/>
                <w:sz w:val="20"/>
                <w:szCs w:val="20"/>
              </w:rPr>
              <w:t xml:space="preserve">) of the soil media and gravel layers multiplied by their respective depths, plus the surface ponding depth. Refer to </w:t>
            </w:r>
            <w:r w:rsidRPr="008A4C8F">
              <w:rPr>
                <w:rFonts w:ascii="Arial" w:eastAsia="Times New Roman" w:hAnsi="Arial" w:cs="Arial"/>
                <w:b/>
                <w:bCs/>
                <w:sz w:val="20"/>
                <w:szCs w:val="20"/>
              </w:rPr>
              <w:t>Section 6.1</w:t>
            </w:r>
            <w:r w:rsidRPr="008A4C8F">
              <w:rPr>
                <w:rFonts w:ascii="Arial" w:eastAsia="Times New Roman" w:hAnsi="Arial" w:cs="Arial"/>
                <w:sz w:val="20"/>
                <w:szCs w:val="20"/>
              </w:rPr>
              <w:t>.</w:t>
            </w:r>
          </w:p>
          <w:p w:rsidR="008A4C8F" w:rsidRPr="008A4C8F" w:rsidRDefault="008A4C8F" w:rsidP="008A4C8F">
            <w:pPr>
              <w:spacing w:before="100" w:beforeAutospacing="1" w:after="100" w:afterAutospacing="1"/>
              <w:rPr>
                <w:rFonts w:ascii="Times New Roman" w:eastAsia="Times New Roman" w:hAnsi="Times New Roman"/>
                <w:sz w:val="24"/>
              </w:rPr>
            </w:pPr>
            <w:r w:rsidRPr="008A4C8F">
              <w:rPr>
                <w:rFonts w:ascii="Arial" w:eastAsia="Times New Roman" w:hAnsi="Arial" w:cs="Arial"/>
                <w:sz w:val="24"/>
                <w:vertAlign w:val="superscript"/>
              </w:rPr>
              <w:t>2</w:t>
            </w:r>
            <w:r w:rsidRPr="008A4C8F">
              <w:rPr>
                <w:rFonts w:ascii="Arial" w:eastAsia="Times New Roman" w:hAnsi="Arial" w:cs="Arial"/>
                <w:sz w:val="20"/>
                <w:szCs w:val="20"/>
              </w:rPr>
              <w:t xml:space="preserve"> A ponding depth of 6 inches is preferred. Ponding depths greater than 6 inches will require a specific planting plan to ensure appropriate plant selection (</w:t>
            </w:r>
            <w:r w:rsidRPr="008A4C8F">
              <w:rPr>
                <w:rFonts w:ascii="Arial" w:eastAsia="Times New Roman" w:hAnsi="Arial" w:cs="Arial"/>
                <w:b/>
                <w:bCs/>
                <w:sz w:val="20"/>
                <w:szCs w:val="20"/>
              </w:rPr>
              <w:t>Section 6.8</w:t>
            </w:r>
            <w:r w:rsidRPr="008A4C8F">
              <w:rPr>
                <w:rFonts w:ascii="Arial" w:eastAsia="Times New Roman" w:hAnsi="Arial" w:cs="Arial"/>
                <w:sz w:val="20"/>
                <w:szCs w:val="20"/>
              </w:rPr>
              <w:t>).</w:t>
            </w:r>
          </w:p>
          <w:p w:rsidR="008A4C8F" w:rsidRPr="008A4C8F" w:rsidRDefault="008A4C8F" w:rsidP="008A4C8F">
            <w:pPr>
              <w:spacing w:before="100" w:beforeAutospacing="1" w:after="100" w:afterAutospacing="1"/>
              <w:rPr>
                <w:rFonts w:ascii="Times New Roman" w:eastAsia="Times New Roman" w:hAnsi="Times New Roman"/>
                <w:sz w:val="24"/>
              </w:rPr>
            </w:pPr>
            <w:r w:rsidRPr="008A4C8F">
              <w:rPr>
                <w:rFonts w:ascii="Arial" w:eastAsia="Times New Roman" w:hAnsi="Arial" w:cs="Arial"/>
                <w:sz w:val="24"/>
                <w:vertAlign w:val="superscript"/>
              </w:rPr>
              <w:t>3</w:t>
            </w:r>
            <w:r w:rsidRPr="008A4C8F">
              <w:rPr>
                <w:rFonts w:ascii="Arial" w:eastAsia="Times New Roman" w:hAnsi="Arial" w:cs="Arial"/>
                <w:sz w:val="20"/>
                <w:szCs w:val="20"/>
              </w:rPr>
              <w:t xml:space="preserve"> These are recommendations for simple building foundations. If an in-ground basement or other special conditions exist, the design should be reviewed by a licensed engineer. Also, a special footing or drainage design may be used to justify a reduction of the setbacks noted above. </w:t>
            </w:r>
          </w:p>
        </w:tc>
      </w:tr>
    </w:tbl>
    <w:p w:rsidR="008A4C8F" w:rsidRDefault="008A4C8F" w:rsidP="006C3769">
      <w:pPr>
        <w:rPr>
          <w:b/>
          <w:color w:val="00B0F0"/>
          <w:sz w:val="28"/>
          <w:szCs w:val="28"/>
        </w:rPr>
      </w:pPr>
    </w:p>
    <w:p w:rsidR="006C3769" w:rsidRPr="00EB2F78" w:rsidRDefault="00EB2F78" w:rsidP="006C3769">
      <w:pPr>
        <w:rPr>
          <w:b/>
          <w:color w:val="00B0F0"/>
          <w:sz w:val="28"/>
          <w:szCs w:val="28"/>
        </w:rPr>
      </w:pPr>
      <w:r w:rsidRPr="00EB2F78">
        <w:rPr>
          <w:b/>
          <w:color w:val="00B0F0"/>
          <w:sz w:val="28"/>
          <w:szCs w:val="28"/>
        </w:rPr>
        <w:t>References</w:t>
      </w:r>
    </w:p>
    <w:p w:rsidR="00EB2F78" w:rsidRDefault="00EB2F78" w:rsidP="006C3769"/>
    <w:p w:rsidR="00EB2F78" w:rsidRPr="00CD628B" w:rsidRDefault="00EB2F78" w:rsidP="00EB2F78">
      <w:proofErr w:type="gramStart"/>
      <w:r w:rsidRPr="00CD628B">
        <w:t xml:space="preserve">Balch, </w:t>
      </w:r>
      <w:r>
        <w:t>G.C.</w:t>
      </w:r>
      <w:r w:rsidR="00FD0767">
        <w:t>,</w:t>
      </w:r>
      <w:r>
        <w:t xml:space="preserve"> </w:t>
      </w:r>
      <w:r w:rsidRPr="00CD628B">
        <w:t>H</w:t>
      </w:r>
      <w:r w:rsidR="00FD0767">
        <w:t>.</w:t>
      </w:r>
      <w:r w:rsidRPr="00CD628B">
        <w:t xml:space="preserve"> Broadbent, B</w:t>
      </w:r>
      <w:r w:rsidR="00FD0767">
        <w:t>.</w:t>
      </w:r>
      <w:r w:rsidRPr="00CD628B">
        <w:t xml:space="preserve"> C. Wootton and S</w:t>
      </w:r>
      <w:r w:rsidR="00FD0767">
        <w:t>.</w:t>
      </w:r>
      <w:r w:rsidRPr="00CD628B">
        <w:t xml:space="preserve"> L. Collins</w:t>
      </w:r>
      <w:r>
        <w:t xml:space="preserve"> in association with Fleming College.</w:t>
      </w:r>
      <w:proofErr w:type="gramEnd"/>
      <w:r>
        <w:t xml:space="preserve"> 2013. </w:t>
      </w:r>
      <w:r w:rsidR="007A2E27">
        <w:t>“</w:t>
      </w:r>
      <w:r w:rsidRPr="00CD628B">
        <w:t>Phosphorus Removal Performance of Bioretention Soil Mix Amended with Imbrium®Systems Sorbtive®Media</w:t>
      </w:r>
      <w:r w:rsidR="007A2E27">
        <w:t>.”</w:t>
      </w:r>
    </w:p>
    <w:p w:rsidR="00EB2F78" w:rsidRDefault="00EB2F78" w:rsidP="00EB2F78"/>
    <w:p w:rsidR="00EB2F78" w:rsidRPr="00EB2F78" w:rsidRDefault="00EB2F78" w:rsidP="00EB2F78">
      <w:r w:rsidRPr="00EB2F78">
        <w:t>Barr Engineering. 2013. MIDS Cred</w:t>
      </w:r>
      <w:r>
        <w:t xml:space="preserve">its: Iron-Enhanced Sand Filters. Presentation to </w:t>
      </w:r>
    </w:p>
    <w:p w:rsidR="00EB2F78" w:rsidRPr="00EB2F78" w:rsidRDefault="00EB2F78" w:rsidP="00EB2F78">
      <w:r w:rsidRPr="00EB2F78">
        <w:t>MIDS Work Group March 15, 2013</w:t>
      </w:r>
      <w:r>
        <w:t>.</w:t>
      </w:r>
    </w:p>
    <w:p w:rsidR="00EB2F78" w:rsidRDefault="00EB2F78" w:rsidP="006C3769"/>
    <w:p w:rsidR="006C3769" w:rsidRDefault="006C3769" w:rsidP="006C3769">
      <w:r>
        <w:t>Barr Engineering. 2013. Presentation to MIDS Workgroup January 18, 2013.</w:t>
      </w:r>
    </w:p>
    <w:p w:rsidR="00AF5A93" w:rsidRDefault="00AF5A93" w:rsidP="006C3769"/>
    <w:p w:rsidR="00FD0767" w:rsidRPr="00FD0767" w:rsidRDefault="00FD0767" w:rsidP="00FD0767"/>
    <w:p w:rsidR="00FD0767" w:rsidRPr="00FD0767" w:rsidRDefault="00FD0767" w:rsidP="00FD0767"/>
    <w:p w:rsidR="00FD0767" w:rsidRPr="00FD0767" w:rsidRDefault="00FD0767" w:rsidP="00FD0767">
      <w:proofErr w:type="gramStart"/>
      <w:r w:rsidRPr="00FD0767">
        <w:lastRenderedPageBreak/>
        <w:t>Brown, R. A. and W. F. Hunt.</w:t>
      </w:r>
      <w:proofErr w:type="gramEnd"/>
      <w:r w:rsidRPr="00FD0767">
        <w:t xml:space="preserve"> </w:t>
      </w:r>
      <w:r>
        <w:t xml:space="preserve">2012. </w:t>
      </w:r>
      <w:r w:rsidR="007A2E27">
        <w:t>“</w:t>
      </w:r>
      <w:r w:rsidRPr="00FD0767">
        <w:t>Improving bioretention/biofiltration performance with</w:t>
      </w:r>
    </w:p>
    <w:p w:rsidR="00FD0767" w:rsidRPr="00FD0767" w:rsidRDefault="00FD0767" w:rsidP="00FD0767">
      <w:proofErr w:type="gramStart"/>
      <w:r w:rsidRPr="00FD0767">
        <w:t>restorative</w:t>
      </w:r>
      <w:proofErr w:type="gramEnd"/>
      <w:r w:rsidRPr="00FD0767">
        <w:t xml:space="preserve"> maintenance</w:t>
      </w:r>
      <w:r w:rsidR="007A2E27">
        <w:t>”</w:t>
      </w:r>
      <w:r>
        <w:t>.</w:t>
      </w:r>
      <w:r w:rsidRPr="00FD0767">
        <w:t xml:space="preserve"> </w:t>
      </w:r>
      <w:hyperlink r:id="rId7" w:tooltip="Water science and technology : a journal of the International Association on Water Pollution Research." w:history="1">
        <w:r w:rsidRPr="007A2E27">
          <w:rPr>
            <w:i/>
          </w:rPr>
          <w:t>Water</w:t>
        </w:r>
      </w:hyperlink>
      <w:r w:rsidRPr="007A2E27">
        <w:rPr>
          <w:i/>
        </w:rPr>
        <w:t xml:space="preserve"> Science and Technology</w:t>
      </w:r>
      <w:r>
        <w:t xml:space="preserve"> </w:t>
      </w:r>
      <w:r w:rsidRPr="00FD0767">
        <w:t>65(2):361-7</w:t>
      </w:r>
      <w:r>
        <w:t>.</w:t>
      </w:r>
    </w:p>
    <w:p w:rsidR="00FD0767" w:rsidRDefault="00FD0767" w:rsidP="00AF5A93"/>
    <w:p w:rsidR="00AF5A93" w:rsidRPr="00AF5A93" w:rsidRDefault="00AF5A93" w:rsidP="00AF5A93">
      <w:proofErr w:type="gramStart"/>
      <w:r w:rsidRPr="00AF5A93">
        <w:t>Brown</w:t>
      </w:r>
      <w:r>
        <w:t xml:space="preserve">, R.A. </w:t>
      </w:r>
      <w:r w:rsidRPr="00AF5A93">
        <w:t>and W</w:t>
      </w:r>
      <w:r>
        <w:t>.</w:t>
      </w:r>
      <w:r w:rsidRPr="00AF5A93">
        <w:t>F. Hunt III</w:t>
      </w:r>
      <w:r>
        <w:t>.</w:t>
      </w:r>
      <w:proofErr w:type="gramEnd"/>
      <w:r>
        <w:t xml:space="preserve"> 2011. </w:t>
      </w:r>
      <w:r w:rsidR="007A2E27">
        <w:t>‘</w:t>
      </w:r>
      <w:r w:rsidR="00227209" w:rsidRPr="00AF5A93">
        <w:t>Impacts of Media Depth on Effluent Water</w:t>
      </w:r>
      <w:r w:rsidR="00227209">
        <w:t xml:space="preserve"> </w:t>
      </w:r>
      <w:r w:rsidR="00227209" w:rsidRPr="00AF5A93">
        <w:t>Quality and Hydrologic Performance</w:t>
      </w:r>
      <w:r w:rsidR="00227209">
        <w:t xml:space="preserve"> </w:t>
      </w:r>
      <w:r w:rsidR="00227209" w:rsidRPr="00AF5A93">
        <w:t>of Undersized Bioretention Cells</w:t>
      </w:r>
      <w:r w:rsidR="007A2E27">
        <w:t>”</w:t>
      </w:r>
      <w:r w:rsidR="00227209">
        <w:t xml:space="preserve">. </w:t>
      </w:r>
      <w:r w:rsidR="00FD0767" w:rsidRPr="007A2E27">
        <w:rPr>
          <w:i/>
        </w:rPr>
        <w:t>Journal o</w:t>
      </w:r>
      <w:r w:rsidR="00227209" w:rsidRPr="007A2E27">
        <w:rPr>
          <w:i/>
        </w:rPr>
        <w:t xml:space="preserve">f Irrigation </w:t>
      </w:r>
      <w:r w:rsidR="00FD0767" w:rsidRPr="007A2E27">
        <w:rPr>
          <w:i/>
        </w:rPr>
        <w:t>a</w:t>
      </w:r>
      <w:r w:rsidR="00227209" w:rsidRPr="007A2E27">
        <w:rPr>
          <w:i/>
        </w:rPr>
        <w:t>nd Drainage Engineering</w:t>
      </w:r>
      <w:r w:rsidRPr="00AF5A93">
        <w:t xml:space="preserve"> </w:t>
      </w:r>
      <w:r w:rsidR="00227209">
        <w:t xml:space="preserve">137(3): </w:t>
      </w:r>
      <w:r w:rsidRPr="00AF5A93">
        <w:t>132-143.</w:t>
      </w:r>
    </w:p>
    <w:p w:rsidR="000C75FD" w:rsidRDefault="000C75FD" w:rsidP="006C3769"/>
    <w:p w:rsidR="000C75FD" w:rsidRDefault="000C75FD" w:rsidP="007537A0">
      <w:pPr>
        <w:rPr>
          <w:bCs/>
        </w:rPr>
      </w:pPr>
      <w:proofErr w:type="gramStart"/>
      <w:r w:rsidRPr="004B1167">
        <w:rPr>
          <w:bCs/>
        </w:rPr>
        <w:t xml:space="preserve">Henderson, C.; Greenway, M.; Phillips, </w:t>
      </w:r>
      <w:smartTag w:uri="urn:schemas-microsoft-com:office:smarttags" w:element="place">
        <w:r w:rsidRPr="004B1167">
          <w:rPr>
            <w:bCs/>
          </w:rPr>
          <w:t>I.</w:t>
        </w:r>
      </w:smartTag>
      <w:r>
        <w:rPr>
          <w:bCs/>
        </w:rPr>
        <w:t xml:space="preserve"> </w:t>
      </w:r>
      <w:r w:rsidRPr="004B1167">
        <w:rPr>
          <w:bCs/>
        </w:rPr>
        <w:t>2007.</w:t>
      </w:r>
      <w:proofErr w:type="gramEnd"/>
      <w:r w:rsidRPr="004B1167">
        <w:rPr>
          <w:bCs/>
        </w:rPr>
        <w:t xml:space="preserve"> “Removal of Dissolved Nitrogen, Phosphorus and Carbon </w:t>
      </w:r>
      <w:proofErr w:type="gramStart"/>
      <w:r w:rsidRPr="004B1167">
        <w:rPr>
          <w:bCs/>
        </w:rPr>
        <w:t>From</w:t>
      </w:r>
      <w:proofErr w:type="gramEnd"/>
      <w:r w:rsidRPr="004B1167">
        <w:rPr>
          <w:bCs/>
        </w:rPr>
        <w:t xml:space="preserve"> Stormwater Biofiltration Mesocosms.” </w:t>
      </w:r>
      <w:hyperlink r:id="rId8" w:tooltip="Water science and technology : a journal of the International Association on Water Pollution Research." w:history="1">
        <w:r w:rsidR="00FD0767" w:rsidRPr="007A2E27">
          <w:rPr>
            <w:i/>
          </w:rPr>
          <w:t>Water</w:t>
        </w:r>
      </w:hyperlink>
      <w:r w:rsidR="00FD0767" w:rsidRPr="007A2E27">
        <w:rPr>
          <w:i/>
        </w:rPr>
        <w:t xml:space="preserve"> Science and Technology</w:t>
      </w:r>
      <w:r w:rsidR="00FD0767" w:rsidRPr="004B1167">
        <w:rPr>
          <w:bCs/>
        </w:rPr>
        <w:t xml:space="preserve"> </w:t>
      </w:r>
      <w:r w:rsidRPr="004B1167">
        <w:rPr>
          <w:bCs/>
        </w:rPr>
        <w:t>55(4), 183-191.</w:t>
      </w:r>
    </w:p>
    <w:p w:rsidR="000C75FD" w:rsidRPr="004B1167" w:rsidRDefault="000C75FD" w:rsidP="000C75FD">
      <w:pPr>
        <w:ind w:left="720" w:hanging="720"/>
        <w:rPr>
          <w:bCs/>
        </w:rPr>
      </w:pPr>
    </w:p>
    <w:p w:rsidR="000C75FD" w:rsidRPr="004B1167" w:rsidRDefault="000C75FD" w:rsidP="007537A0">
      <w:pPr>
        <w:rPr>
          <w:bCs/>
        </w:rPr>
      </w:pPr>
      <w:r>
        <w:rPr>
          <w:bCs/>
        </w:rPr>
        <w:t xml:space="preserve">Henderson, C. F. K. </w:t>
      </w:r>
      <w:r w:rsidRPr="004B1167">
        <w:rPr>
          <w:bCs/>
        </w:rPr>
        <w:t xml:space="preserve">2008. </w:t>
      </w:r>
      <w:proofErr w:type="gramStart"/>
      <w:r w:rsidRPr="004B1167">
        <w:rPr>
          <w:bCs/>
        </w:rPr>
        <w:t>‘The Chemical and Biological Mechanisms of Nutrient Removal from Stormwater in Bioretention Systems.”</w:t>
      </w:r>
      <w:proofErr w:type="gramEnd"/>
      <w:r w:rsidRPr="004B1167">
        <w:rPr>
          <w:bCs/>
        </w:rPr>
        <w:t xml:space="preserve"> </w:t>
      </w:r>
      <w:proofErr w:type="gramStart"/>
      <w:r w:rsidRPr="004B1167">
        <w:rPr>
          <w:bCs/>
        </w:rPr>
        <w:t>Thesis.</w:t>
      </w:r>
      <w:proofErr w:type="gramEnd"/>
      <w:r w:rsidRPr="004B1167">
        <w:rPr>
          <w:bCs/>
        </w:rPr>
        <w:t xml:space="preserve"> </w:t>
      </w:r>
      <w:proofErr w:type="gramStart"/>
      <w:smartTag w:uri="urn:schemas-microsoft-com:office:smarttags" w:element="City">
        <w:r w:rsidRPr="004B1167">
          <w:rPr>
            <w:bCs/>
          </w:rPr>
          <w:t>Griffith</w:t>
        </w:r>
      </w:smartTag>
      <w:r w:rsidRPr="004B1167">
        <w:rPr>
          <w:bCs/>
        </w:rPr>
        <w:t xml:space="preserve"> </w:t>
      </w:r>
      <w:smartTag w:uri="urn:schemas-microsoft-com:office:smarttags" w:element="PlaceType">
        <w:r w:rsidRPr="004B1167">
          <w:rPr>
            <w:bCs/>
          </w:rPr>
          <w:t>School</w:t>
        </w:r>
      </w:smartTag>
      <w:r w:rsidRPr="004B1167">
        <w:rPr>
          <w:bCs/>
        </w:rPr>
        <w:t xml:space="preserve"> of </w:t>
      </w:r>
      <w:smartTag w:uri="urn:schemas-microsoft-com:office:smarttags" w:element="PlaceName">
        <w:r w:rsidRPr="004B1167">
          <w:rPr>
            <w:bCs/>
          </w:rPr>
          <w:t>Engineering</w:t>
        </w:r>
      </w:smartTag>
      <w:r w:rsidRPr="004B1167">
        <w:rPr>
          <w:bCs/>
        </w:rPr>
        <w:t xml:space="preserve">, </w:t>
      </w:r>
      <w:smartTag w:uri="urn:schemas-microsoft-com:office:smarttags" w:element="place">
        <w:smartTag w:uri="urn:schemas-microsoft-com:office:smarttags" w:element="PlaceName">
          <w:r w:rsidRPr="004B1167">
            <w:rPr>
              <w:bCs/>
            </w:rPr>
            <w:t>Griffith</w:t>
          </w:r>
        </w:smartTag>
        <w:r w:rsidRPr="004B1167">
          <w:rPr>
            <w:bCs/>
          </w:rPr>
          <w:t xml:space="preserve"> </w:t>
        </w:r>
        <w:smartTag w:uri="urn:schemas-microsoft-com:office:smarttags" w:element="PlaceType">
          <w:r w:rsidRPr="004B1167">
            <w:rPr>
              <w:bCs/>
            </w:rPr>
            <w:t>University</w:t>
          </w:r>
        </w:smartTag>
      </w:smartTag>
      <w:r w:rsidRPr="004B1167">
        <w:rPr>
          <w:bCs/>
        </w:rPr>
        <w:t>.</w:t>
      </w:r>
      <w:proofErr w:type="gramEnd"/>
    </w:p>
    <w:p w:rsidR="000C75FD" w:rsidRDefault="000C75FD" w:rsidP="006C3769"/>
    <w:p w:rsidR="00AF5A93" w:rsidRDefault="00AF5A93" w:rsidP="007537A0">
      <w:proofErr w:type="gramStart"/>
      <w:r w:rsidRPr="007537A0">
        <w:t>Hunt, W. F., Smith, J. T., Jadlocki, S. J., Hathaway, J. M., and Eubanks,</w:t>
      </w:r>
      <w:r w:rsidR="007537A0">
        <w:t xml:space="preserve"> </w:t>
      </w:r>
      <w:r w:rsidR="00FD0767">
        <w:t>P. R. 2008.</w:t>
      </w:r>
      <w:proofErr w:type="gramEnd"/>
      <w:r w:rsidR="00FD0767">
        <w:t xml:space="preserve"> </w:t>
      </w:r>
      <w:r w:rsidR="007A2E27">
        <w:t>“</w:t>
      </w:r>
      <w:r w:rsidRPr="007537A0">
        <w:t>Pollutant removal and peak flow mitigation by a</w:t>
      </w:r>
      <w:r w:rsidR="007537A0">
        <w:t xml:space="preserve"> </w:t>
      </w:r>
      <w:r w:rsidRPr="007537A0">
        <w:t>bioretenti</w:t>
      </w:r>
      <w:r w:rsidR="00FD0767">
        <w:t>on cell in urban charlotte, N.C.</w:t>
      </w:r>
      <w:r w:rsidR="007A2E27">
        <w:t xml:space="preserve">” </w:t>
      </w:r>
      <w:r w:rsidR="00667A4C" w:rsidRPr="007A2E27">
        <w:rPr>
          <w:i/>
        </w:rPr>
        <w:t>Journal of Environmental Engineering</w:t>
      </w:r>
      <w:r w:rsidRPr="007537A0">
        <w:t>, 134(5),</w:t>
      </w:r>
      <w:r w:rsidR="007537A0">
        <w:t xml:space="preserve"> </w:t>
      </w:r>
      <w:r w:rsidRPr="007537A0">
        <w:t>403–408.</w:t>
      </w:r>
    </w:p>
    <w:p w:rsidR="00FD0767" w:rsidRDefault="00FD0767" w:rsidP="007537A0"/>
    <w:p w:rsidR="00FD0767" w:rsidRPr="00FD0767" w:rsidRDefault="00FD0767" w:rsidP="00FD0767">
      <w:proofErr w:type="gramStart"/>
      <w:r w:rsidRPr="00FD0767">
        <w:t xml:space="preserve">Hunt, W. F., Jarrett, A. R., Smith, J. </w:t>
      </w:r>
      <w:r w:rsidR="00667A4C">
        <w:t>T., and Sharkey, L. J. (2006).</w:t>
      </w:r>
      <w:proofErr w:type="gramEnd"/>
      <w:r w:rsidR="00667A4C">
        <w:t xml:space="preserve"> </w:t>
      </w:r>
      <w:proofErr w:type="gramStart"/>
      <w:r w:rsidR="007A2E27">
        <w:t>“</w:t>
      </w:r>
      <w:r w:rsidRPr="00FD0767">
        <w:t>Evaluating</w:t>
      </w:r>
      <w:r>
        <w:t xml:space="preserve"> </w:t>
      </w:r>
      <w:r w:rsidRPr="00FD0767">
        <w:t>bioretention hydrology and nutrient removal at three field sites in</w:t>
      </w:r>
      <w:r>
        <w:t xml:space="preserve"> </w:t>
      </w:r>
      <w:r w:rsidRPr="00FD0767">
        <w:t>North Carolina.</w:t>
      </w:r>
      <w:r w:rsidR="007A2E27">
        <w:t>”</w:t>
      </w:r>
      <w:proofErr w:type="gramEnd"/>
      <w:r w:rsidRPr="00FD0767">
        <w:t xml:space="preserve"> </w:t>
      </w:r>
      <w:proofErr w:type="gramStart"/>
      <w:r w:rsidRPr="007A2E27">
        <w:rPr>
          <w:i/>
        </w:rPr>
        <w:t>Journal of Irrigation and Drainage Engineering</w:t>
      </w:r>
      <w:r w:rsidRPr="00AF5A93">
        <w:t xml:space="preserve"> </w:t>
      </w:r>
      <w:r w:rsidRPr="00FD0767">
        <w:t>132(6), 600–608</w:t>
      </w:r>
      <w:r>
        <w:t>.</w:t>
      </w:r>
      <w:proofErr w:type="gramEnd"/>
    </w:p>
    <w:p w:rsidR="00AF5A93" w:rsidRDefault="00AF5A93" w:rsidP="000C75FD">
      <w:pPr>
        <w:rPr>
          <w:rFonts w:eastAsia="Times New Roman" w:cs="Calibri"/>
          <w:color w:val="000000"/>
          <w:szCs w:val="22"/>
        </w:rPr>
      </w:pPr>
    </w:p>
    <w:p w:rsidR="007537A0" w:rsidRPr="007537A0" w:rsidRDefault="007537A0" w:rsidP="007537A0">
      <w:proofErr w:type="gramStart"/>
      <w:r w:rsidRPr="007537A0">
        <w:t>Line</w:t>
      </w:r>
      <w:r>
        <w:t xml:space="preserve">, </w:t>
      </w:r>
      <w:r w:rsidRPr="007537A0">
        <w:t>D. E. and Hunt</w:t>
      </w:r>
      <w:r>
        <w:t xml:space="preserve">, </w:t>
      </w:r>
      <w:r w:rsidRPr="007537A0">
        <w:t xml:space="preserve">W. F. </w:t>
      </w:r>
      <w:r>
        <w:t>2009.</w:t>
      </w:r>
      <w:proofErr w:type="gramEnd"/>
      <w:r>
        <w:t xml:space="preserve"> </w:t>
      </w:r>
      <w:proofErr w:type="gramStart"/>
      <w:r w:rsidR="007A2E27">
        <w:t>“</w:t>
      </w:r>
      <w:r w:rsidRPr="007537A0">
        <w:t>Performance of a Bioretention Area and a Level</w:t>
      </w:r>
      <w:r>
        <w:t xml:space="preserve"> </w:t>
      </w:r>
      <w:r w:rsidRPr="007537A0">
        <w:t>Spreader-Grass Filter Strip at Two Highway Sites in</w:t>
      </w:r>
      <w:r>
        <w:t xml:space="preserve"> </w:t>
      </w:r>
      <w:r w:rsidRPr="007537A0">
        <w:t>North Carolina</w:t>
      </w:r>
      <w:r>
        <w:t>.</w:t>
      </w:r>
      <w:r w:rsidR="007A2E27">
        <w:t>”</w:t>
      </w:r>
      <w:proofErr w:type="gramEnd"/>
      <w:r>
        <w:t xml:space="preserve"> </w:t>
      </w:r>
      <w:r w:rsidRPr="007A2E27">
        <w:rPr>
          <w:i/>
        </w:rPr>
        <w:t>Journal of Irrigation and Drainage Engineering</w:t>
      </w:r>
      <w:r w:rsidRPr="007537A0">
        <w:t>, 135</w:t>
      </w:r>
      <w:r>
        <w:t>(</w:t>
      </w:r>
      <w:r w:rsidRPr="007537A0">
        <w:t>2</w:t>
      </w:r>
      <w:r>
        <w:t>)</w:t>
      </w:r>
      <w:r w:rsidRPr="007537A0">
        <w:t>: 217–224</w:t>
      </w:r>
      <w:r>
        <w:t>.</w:t>
      </w:r>
    </w:p>
    <w:p w:rsidR="007537A0" w:rsidRDefault="007537A0" w:rsidP="000C75FD">
      <w:pPr>
        <w:rPr>
          <w:rFonts w:eastAsia="Times New Roman" w:cs="Calibri"/>
          <w:color w:val="000000"/>
          <w:szCs w:val="22"/>
        </w:rPr>
      </w:pPr>
    </w:p>
    <w:p w:rsidR="000C75FD" w:rsidRDefault="000C75FD" w:rsidP="000C75FD">
      <w:pPr>
        <w:rPr>
          <w:rFonts w:eastAsia="Times New Roman" w:cs="Calibri"/>
          <w:color w:val="000000"/>
          <w:szCs w:val="22"/>
        </w:rPr>
      </w:pPr>
      <w:hyperlink r:id="rId9" w:tooltip="Water environment research : a research publication of the Water Environment Federation." w:history="1">
        <w:proofErr w:type="gramStart"/>
        <w:r w:rsidRPr="00C6298B">
          <w:rPr>
            <w:rFonts w:eastAsia="Times New Roman" w:cs="Calibri"/>
            <w:color w:val="000000"/>
            <w:szCs w:val="22"/>
          </w:rPr>
          <w:t>Luca</w:t>
        </w:r>
        <w:r>
          <w:rPr>
            <w:rFonts w:eastAsia="Times New Roman" w:cs="Calibri"/>
            <w:color w:val="000000"/>
            <w:szCs w:val="22"/>
          </w:rPr>
          <w:t>s, W. C. and M. Greenway.</w:t>
        </w:r>
        <w:proofErr w:type="gramEnd"/>
        <w:r w:rsidRPr="00C6298B">
          <w:rPr>
            <w:rFonts w:eastAsia="Times New Roman" w:cs="Calibri"/>
            <w:color w:val="000000"/>
            <w:szCs w:val="22"/>
          </w:rPr>
          <w:t xml:space="preserve"> 2011</w:t>
        </w:r>
      </w:hyperlink>
      <w:r>
        <w:rPr>
          <w:rFonts w:eastAsia="Times New Roman" w:cs="Calibri"/>
          <w:color w:val="000000"/>
          <w:szCs w:val="22"/>
        </w:rPr>
        <w:t>.</w:t>
      </w:r>
      <w:r w:rsidR="007A2E27" w:rsidRPr="007A2E27">
        <w:t xml:space="preserve"> </w:t>
      </w:r>
      <w:r w:rsidR="007A2E27">
        <w:t>“</w:t>
      </w:r>
      <w:r>
        <w:rPr>
          <w:rFonts w:eastAsia="Times New Roman" w:cs="Calibri"/>
          <w:color w:val="000000"/>
          <w:szCs w:val="22"/>
        </w:rPr>
        <w:t>Phosphorus Retention by Bioretention Mecocosms Using MediaFormulated for Phosphorus Sorption: Response to Accelerated Loads.</w:t>
      </w:r>
      <w:r w:rsidR="007A2E27">
        <w:t>”</w:t>
      </w:r>
      <w:r>
        <w:rPr>
          <w:rFonts w:eastAsia="Times New Roman" w:cs="Calibri"/>
          <w:color w:val="000000"/>
          <w:szCs w:val="22"/>
        </w:rPr>
        <w:t xml:space="preserve"> </w:t>
      </w:r>
      <w:r w:rsidRPr="007A2E27">
        <w:rPr>
          <w:rFonts w:eastAsia="Times New Roman" w:cs="Calibri"/>
          <w:i/>
          <w:color w:val="000000"/>
          <w:szCs w:val="22"/>
        </w:rPr>
        <w:t>Journal of Irrigation and Drainage Engineering</w:t>
      </w:r>
      <w:r>
        <w:rPr>
          <w:rFonts w:eastAsia="Times New Roman" w:cs="Calibri"/>
          <w:color w:val="000000"/>
          <w:szCs w:val="22"/>
        </w:rPr>
        <w:t xml:space="preserve"> 137(3): 144-152.</w:t>
      </w:r>
    </w:p>
    <w:p w:rsidR="00227209" w:rsidRDefault="00227209" w:rsidP="000C75FD">
      <w:pPr>
        <w:rPr>
          <w:rFonts w:eastAsia="Times New Roman" w:cs="Calibri"/>
          <w:color w:val="000000"/>
          <w:szCs w:val="22"/>
        </w:rPr>
      </w:pPr>
    </w:p>
    <w:p w:rsidR="00227209" w:rsidRPr="00227209" w:rsidRDefault="00227209" w:rsidP="00227209">
      <w:r w:rsidRPr="00227209">
        <w:t xml:space="preserve">Luell, </w:t>
      </w:r>
      <w:r>
        <w:t xml:space="preserve">S. K., </w:t>
      </w:r>
      <w:r w:rsidRPr="00227209">
        <w:t xml:space="preserve">W. F. Hunt and R. J. Winston. 2011. </w:t>
      </w:r>
      <w:r w:rsidR="007A2E27">
        <w:t>“</w:t>
      </w:r>
      <w:r w:rsidRPr="00227209">
        <w:t>Evaluation of undersized bioretention stormwater control</w:t>
      </w:r>
    </w:p>
    <w:p w:rsidR="00227209" w:rsidRPr="00227209" w:rsidRDefault="00227209" w:rsidP="00227209">
      <w:proofErr w:type="gramStart"/>
      <w:r w:rsidRPr="00227209">
        <w:t>measures</w:t>
      </w:r>
      <w:proofErr w:type="gramEnd"/>
      <w:r w:rsidRPr="00227209">
        <w:t xml:space="preserve"> for treatment of highway bridge deck runoff</w:t>
      </w:r>
      <w:r>
        <w:t>.</w:t>
      </w:r>
      <w:r w:rsidR="007A2E27">
        <w:t>”</w:t>
      </w:r>
      <w:r>
        <w:t xml:space="preserve"> </w:t>
      </w:r>
      <w:r w:rsidRPr="007A2E27">
        <w:rPr>
          <w:i/>
        </w:rPr>
        <w:t>Water Science &amp; Technology</w:t>
      </w:r>
      <w:r w:rsidR="00FD0767">
        <w:t xml:space="preserve"> 64(4):974-9.</w:t>
      </w:r>
    </w:p>
    <w:p w:rsidR="000C75FD" w:rsidRDefault="000C75FD" w:rsidP="000C75FD">
      <w:pPr>
        <w:rPr>
          <w:rFonts w:eastAsia="Times New Roman" w:cs="Calibri"/>
          <w:color w:val="000000"/>
          <w:szCs w:val="22"/>
        </w:rPr>
      </w:pPr>
    </w:p>
    <w:p w:rsidR="006C3769" w:rsidRDefault="006C3769" w:rsidP="006C3769">
      <w:pPr>
        <w:rPr>
          <w:rFonts w:eastAsia="Times New Roman" w:cs="Calibri"/>
          <w:color w:val="000000"/>
          <w:szCs w:val="22"/>
        </w:rPr>
      </w:pPr>
      <w:proofErr w:type="gramStart"/>
      <w:r>
        <w:rPr>
          <w:rFonts w:eastAsia="Times New Roman" w:cs="Calibri"/>
          <w:color w:val="000000"/>
          <w:szCs w:val="22"/>
        </w:rPr>
        <w:t>N.C. Department of Environment and Natural Resources.</w:t>
      </w:r>
      <w:proofErr w:type="gramEnd"/>
      <w:r>
        <w:rPr>
          <w:rFonts w:eastAsia="Times New Roman" w:cs="Calibri"/>
          <w:color w:val="000000"/>
          <w:szCs w:val="22"/>
        </w:rPr>
        <w:t xml:space="preserve"> 2009. Stormwater BMP Manual Chapter 12: Bioretention. Revised 07-24-09. </w:t>
      </w:r>
      <w:hyperlink r:id="rId10" w:history="1">
        <w:r>
          <w:rPr>
            <w:rStyle w:val="Hyperlink"/>
            <w:rFonts w:eastAsia="Times New Roman" w:cs="Calibri"/>
            <w:szCs w:val="22"/>
          </w:rPr>
          <w:t>http://portal.ncdenr.org/c/document_library/get_file?uuid=199a62d4-3066-4e24-a3f1-088c6932483a&amp;groupId=38364</w:t>
        </w:r>
      </w:hyperlink>
    </w:p>
    <w:p w:rsidR="006C3769" w:rsidRDefault="006C3769" w:rsidP="006C3769"/>
    <w:p w:rsidR="006C3769" w:rsidRDefault="006C3769" w:rsidP="006C3769">
      <w:r>
        <w:t xml:space="preserve">Passeport, E., Hunt, W. F., Line, D. E., Smith, R. A., and Brown, R. A. 2009. </w:t>
      </w:r>
      <w:proofErr w:type="gramStart"/>
      <w:r w:rsidR="007A2E27">
        <w:t>“</w:t>
      </w:r>
      <w:r>
        <w:t>Field study of the ability of two grassed bioretention cells to red</w:t>
      </w:r>
      <w:r w:rsidR="007A2E27">
        <w:t>uce stormwater runoff pollution.”</w:t>
      </w:r>
      <w:proofErr w:type="gramEnd"/>
      <w:r>
        <w:t xml:space="preserve"> </w:t>
      </w:r>
      <w:r w:rsidR="00FD0767" w:rsidRPr="007A2E27">
        <w:rPr>
          <w:rFonts w:eastAsia="Times New Roman" w:cs="Calibri"/>
          <w:i/>
          <w:color w:val="000000"/>
          <w:szCs w:val="22"/>
        </w:rPr>
        <w:t>Journal of Irrigation and Drainage Engineering</w:t>
      </w:r>
      <w:r>
        <w:t>, 135(4): 505–510.</w:t>
      </w:r>
    </w:p>
    <w:p w:rsidR="006C3769" w:rsidRDefault="006C3769" w:rsidP="006C3769"/>
    <w:p w:rsidR="0061777E" w:rsidRDefault="0061777E" w:rsidP="0061777E">
      <w:pPr>
        <w:rPr>
          <w:rFonts w:eastAsia="Times New Roman" w:cs="Calibri"/>
          <w:color w:val="000000"/>
          <w:szCs w:val="22"/>
        </w:rPr>
      </w:pPr>
      <w:proofErr w:type="gramStart"/>
      <w:r w:rsidRPr="00C6298B">
        <w:rPr>
          <w:rFonts w:eastAsia="Times New Roman" w:cs="Calibri"/>
          <w:color w:val="000000"/>
          <w:szCs w:val="22"/>
        </w:rPr>
        <w:t>Virginia DCR.</w:t>
      </w:r>
      <w:proofErr w:type="gramEnd"/>
      <w:r w:rsidRPr="00C6298B">
        <w:rPr>
          <w:rFonts w:eastAsia="Times New Roman" w:cs="Calibri"/>
          <w:color w:val="000000"/>
          <w:szCs w:val="22"/>
        </w:rPr>
        <w:t xml:space="preserve"> </w:t>
      </w:r>
      <w:proofErr w:type="gramStart"/>
      <w:r w:rsidRPr="00C6298B">
        <w:rPr>
          <w:rFonts w:eastAsia="Times New Roman" w:cs="Calibri"/>
          <w:color w:val="000000"/>
          <w:szCs w:val="22"/>
        </w:rPr>
        <w:t>2010. Stormwater Design Specification No. 9.</w:t>
      </w:r>
      <w:proofErr w:type="gramEnd"/>
      <w:r w:rsidRPr="00C6298B">
        <w:rPr>
          <w:rFonts w:eastAsia="Times New Roman" w:cs="Calibri"/>
          <w:color w:val="000000"/>
          <w:szCs w:val="22"/>
        </w:rPr>
        <w:t xml:space="preserve"> </w:t>
      </w:r>
      <w:proofErr w:type="gramStart"/>
      <w:r w:rsidRPr="00C6298B">
        <w:rPr>
          <w:rFonts w:eastAsia="Times New Roman" w:cs="Calibri"/>
          <w:color w:val="000000"/>
          <w:szCs w:val="22"/>
        </w:rPr>
        <w:t>Bioretention.</w:t>
      </w:r>
      <w:proofErr w:type="gramEnd"/>
      <w:r w:rsidRPr="00C6298B">
        <w:rPr>
          <w:rFonts w:eastAsia="Times New Roman" w:cs="Calibri"/>
          <w:color w:val="000000"/>
          <w:szCs w:val="22"/>
        </w:rPr>
        <w:t xml:space="preserve"> </w:t>
      </w:r>
      <w:proofErr w:type="gramStart"/>
      <w:r w:rsidRPr="00C6298B">
        <w:rPr>
          <w:rFonts w:eastAsia="Times New Roman" w:cs="Calibri"/>
          <w:color w:val="000000"/>
          <w:szCs w:val="22"/>
        </w:rPr>
        <w:t>Version 1.7.</w:t>
      </w:r>
      <w:proofErr w:type="gramEnd"/>
    </w:p>
    <w:p w:rsidR="007537A0" w:rsidRDefault="007537A0" w:rsidP="0061777E">
      <w:pPr>
        <w:rPr>
          <w:rFonts w:eastAsia="Times New Roman" w:cs="Calibri"/>
          <w:color w:val="000000"/>
          <w:szCs w:val="22"/>
        </w:rPr>
      </w:pPr>
    </w:p>
    <w:p w:rsidR="007537A0" w:rsidRDefault="007537A0" w:rsidP="0061777E">
      <w:pPr>
        <w:rPr>
          <w:rFonts w:eastAsia="Times New Roman" w:cs="Calibri"/>
          <w:color w:val="000000"/>
          <w:szCs w:val="22"/>
        </w:rPr>
      </w:pPr>
    </w:p>
    <w:p w:rsidR="006C3769" w:rsidRDefault="006C3769" w:rsidP="006C3769"/>
    <w:p w:rsidR="00726EF6" w:rsidRDefault="00726EF6"/>
    <w:sectPr w:rsidR="00726EF6" w:rsidSect="00F76F23">
      <w:headerReference w:type="default" r:id="rId11"/>
      <w:footerReference w:type="default" r:id="rId12"/>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3D6" w:rsidRDefault="001A33D6" w:rsidP="008E2D4E">
      <w:r>
        <w:separator/>
      </w:r>
    </w:p>
  </w:endnote>
  <w:endnote w:type="continuationSeparator" w:id="0">
    <w:p w:rsidR="001A33D6" w:rsidRDefault="001A33D6" w:rsidP="008E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67" w:rsidRDefault="00FD0767">
    <w:pPr>
      <w:pStyle w:val="Footer"/>
      <w:jc w:val="right"/>
    </w:pPr>
    <w:r>
      <w:fldChar w:fldCharType="begin"/>
    </w:r>
    <w:r>
      <w:instrText xml:space="preserve"> PAGE   \* MERGEFORMAT </w:instrText>
    </w:r>
    <w:r>
      <w:fldChar w:fldCharType="separate"/>
    </w:r>
    <w:r w:rsidR="00DB0030">
      <w:rPr>
        <w:noProof/>
      </w:rPr>
      <w:t>1</w:t>
    </w:r>
    <w:r>
      <w:fldChar w:fldCharType="end"/>
    </w:r>
  </w:p>
  <w:p w:rsidR="00FD0767" w:rsidRDefault="00FD0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3D6" w:rsidRDefault="001A33D6" w:rsidP="008E2D4E">
      <w:r>
        <w:separator/>
      </w:r>
    </w:p>
  </w:footnote>
  <w:footnote w:type="continuationSeparator" w:id="0">
    <w:p w:rsidR="001A33D6" w:rsidRDefault="001A33D6" w:rsidP="008E2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67" w:rsidRDefault="00FD0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43F7"/>
    <w:multiLevelType w:val="hybridMultilevel"/>
    <w:tmpl w:val="FBFA5166"/>
    <w:lvl w:ilvl="0" w:tplc="BBC4E9B2">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1F69E1"/>
    <w:multiLevelType w:val="hybridMultilevel"/>
    <w:tmpl w:val="C6D80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6423C93"/>
    <w:multiLevelType w:val="hybridMultilevel"/>
    <w:tmpl w:val="15F83F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A3B3443"/>
    <w:multiLevelType w:val="hybridMultilevel"/>
    <w:tmpl w:val="39FCC8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CEE4658"/>
    <w:multiLevelType w:val="hybridMultilevel"/>
    <w:tmpl w:val="C14869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29A5A02"/>
    <w:multiLevelType w:val="hybridMultilevel"/>
    <w:tmpl w:val="889E8F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4983EC7"/>
    <w:multiLevelType w:val="hybridMultilevel"/>
    <w:tmpl w:val="4930243C"/>
    <w:lvl w:ilvl="0" w:tplc="02641D1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43B268D"/>
    <w:multiLevelType w:val="hybridMultilevel"/>
    <w:tmpl w:val="461C2C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6BC22E1"/>
    <w:multiLevelType w:val="hybridMultilevel"/>
    <w:tmpl w:val="B8C4BF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27A3399"/>
    <w:multiLevelType w:val="hybridMultilevel"/>
    <w:tmpl w:val="4930243C"/>
    <w:lvl w:ilvl="0" w:tplc="02641D1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D4E09C0"/>
    <w:multiLevelType w:val="hybridMultilevel"/>
    <w:tmpl w:val="6DB67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5B32D6A"/>
    <w:multiLevelType w:val="hybridMultilevel"/>
    <w:tmpl w:val="C930BCF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769"/>
    <w:rsid w:val="000C75FD"/>
    <w:rsid w:val="000D5200"/>
    <w:rsid w:val="001A33D6"/>
    <w:rsid w:val="001E66AC"/>
    <w:rsid w:val="00227209"/>
    <w:rsid w:val="00260029"/>
    <w:rsid w:val="00284CFF"/>
    <w:rsid w:val="00310EC4"/>
    <w:rsid w:val="003F2F33"/>
    <w:rsid w:val="003F3F56"/>
    <w:rsid w:val="0040473C"/>
    <w:rsid w:val="00427E3D"/>
    <w:rsid w:val="0045146D"/>
    <w:rsid w:val="0045567E"/>
    <w:rsid w:val="0046061C"/>
    <w:rsid w:val="004D60A2"/>
    <w:rsid w:val="00514787"/>
    <w:rsid w:val="00517AFC"/>
    <w:rsid w:val="005958E5"/>
    <w:rsid w:val="00596509"/>
    <w:rsid w:val="005C7632"/>
    <w:rsid w:val="005E6F4B"/>
    <w:rsid w:val="005F727B"/>
    <w:rsid w:val="0060134B"/>
    <w:rsid w:val="0061777E"/>
    <w:rsid w:val="00627FF7"/>
    <w:rsid w:val="00635E6A"/>
    <w:rsid w:val="00667A4C"/>
    <w:rsid w:val="0068012C"/>
    <w:rsid w:val="006826AC"/>
    <w:rsid w:val="00692D1C"/>
    <w:rsid w:val="006C3769"/>
    <w:rsid w:val="006F3A21"/>
    <w:rsid w:val="00726EF6"/>
    <w:rsid w:val="007537A0"/>
    <w:rsid w:val="007666C7"/>
    <w:rsid w:val="00776C80"/>
    <w:rsid w:val="007A2E27"/>
    <w:rsid w:val="007A560D"/>
    <w:rsid w:val="0088708A"/>
    <w:rsid w:val="0089717B"/>
    <w:rsid w:val="008A2ED7"/>
    <w:rsid w:val="008A4C8F"/>
    <w:rsid w:val="008D7770"/>
    <w:rsid w:val="008E2D4E"/>
    <w:rsid w:val="00944994"/>
    <w:rsid w:val="00945CCB"/>
    <w:rsid w:val="00A00F59"/>
    <w:rsid w:val="00A3745D"/>
    <w:rsid w:val="00A9145D"/>
    <w:rsid w:val="00AC53F6"/>
    <w:rsid w:val="00AC5BFE"/>
    <w:rsid w:val="00AF5A93"/>
    <w:rsid w:val="00B07C72"/>
    <w:rsid w:val="00B323A8"/>
    <w:rsid w:val="00B7287A"/>
    <w:rsid w:val="00C65C41"/>
    <w:rsid w:val="00CD628B"/>
    <w:rsid w:val="00CF714F"/>
    <w:rsid w:val="00D23584"/>
    <w:rsid w:val="00D77943"/>
    <w:rsid w:val="00DB0030"/>
    <w:rsid w:val="00DB7AAF"/>
    <w:rsid w:val="00DD32C2"/>
    <w:rsid w:val="00E0656D"/>
    <w:rsid w:val="00E4610E"/>
    <w:rsid w:val="00E53C03"/>
    <w:rsid w:val="00E8153F"/>
    <w:rsid w:val="00EB2F78"/>
    <w:rsid w:val="00EF45D3"/>
    <w:rsid w:val="00F12395"/>
    <w:rsid w:val="00F34AA2"/>
    <w:rsid w:val="00F76F23"/>
    <w:rsid w:val="00FC3442"/>
    <w:rsid w:val="00FD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769"/>
    <w:rPr>
      <w:rFonts w:eastAsia="Cambria"/>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769"/>
    <w:pPr>
      <w:spacing w:after="200" w:line="276" w:lineRule="auto"/>
      <w:ind w:left="720"/>
      <w:contextualSpacing/>
    </w:pPr>
    <w:rPr>
      <w:rFonts w:eastAsia="Times New Roman"/>
      <w:szCs w:val="22"/>
      <w:lang w:bidi="en-US"/>
    </w:rPr>
  </w:style>
  <w:style w:type="character" w:styleId="Hyperlink">
    <w:name w:val="Hyperlink"/>
    <w:basedOn w:val="DefaultParagraphFont"/>
    <w:uiPriority w:val="99"/>
    <w:unhideWhenUsed/>
    <w:rsid w:val="006C3769"/>
    <w:rPr>
      <w:color w:val="0000FF"/>
      <w:u w:val="single"/>
    </w:rPr>
  </w:style>
  <w:style w:type="paragraph" w:styleId="BalloonText">
    <w:name w:val="Balloon Text"/>
    <w:basedOn w:val="Normal"/>
    <w:link w:val="BalloonTextChar"/>
    <w:uiPriority w:val="99"/>
    <w:semiHidden/>
    <w:unhideWhenUsed/>
    <w:rsid w:val="006C3769"/>
    <w:rPr>
      <w:rFonts w:ascii="Tahoma" w:hAnsi="Tahoma" w:cs="Tahoma"/>
      <w:sz w:val="16"/>
      <w:szCs w:val="16"/>
    </w:rPr>
  </w:style>
  <w:style w:type="character" w:customStyle="1" w:styleId="BalloonTextChar">
    <w:name w:val="Balloon Text Char"/>
    <w:basedOn w:val="DefaultParagraphFont"/>
    <w:link w:val="BalloonText"/>
    <w:uiPriority w:val="99"/>
    <w:semiHidden/>
    <w:rsid w:val="006C3769"/>
    <w:rPr>
      <w:rFonts w:ascii="Tahoma" w:eastAsia="Cambria" w:hAnsi="Tahoma" w:cs="Tahoma"/>
      <w:sz w:val="16"/>
      <w:szCs w:val="16"/>
    </w:rPr>
  </w:style>
  <w:style w:type="paragraph" w:customStyle="1" w:styleId="Pa1">
    <w:name w:val="Pa1"/>
    <w:basedOn w:val="Normal"/>
    <w:next w:val="Normal"/>
    <w:uiPriority w:val="99"/>
    <w:rsid w:val="00CD628B"/>
    <w:pPr>
      <w:autoSpaceDE w:val="0"/>
      <w:autoSpaceDN w:val="0"/>
      <w:adjustRightInd w:val="0"/>
      <w:spacing w:line="341" w:lineRule="atLeast"/>
    </w:pPr>
    <w:rPr>
      <w:rFonts w:ascii="Myriad Pro" w:eastAsia="Calibri" w:hAnsi="Myriad Pro"/>
      <w:sz w:val="24"/>
    </w:rPr>
  </w:style>
  <w:style w:type="character" w:customStyle="1" w:styleId="A6">
    <w:name w:val="A6"/>
    <w:uiPriority w:val="99"/>
    <w:rsid w:val="00CD628B"/>
    <w:rPr>
      <w:rFonts w:cs="Myriad Pro"/>
      <w:b/>
      <w:bCs/>
      <w:color w:val="000000"/>
      <w:sz w:val="19"/>
      <w:szCs w:val="19"/>
    </w:rPr>
  </w:style>
  <w:style w:type="paragraph" w:customStyle="1" w:styleId="Pa0">
    <w:name w:val="Pa0"/>
    <w:basedOn w:val="Normal"/>
    <w:next w:val="Normal"/>
    <w:uiPriority w:val="99"/>
    <w:rsid w:val="00CD628B"/>
    <w:pPr>
      <w:autoSpaceDE w:val="0"/>
      <w:autoSpaceDN w:val="0"/>
      <w:adjustRightInd w:val="0"/>
      <w:spacing w:line="341" w:lineRule="atLeast"/>
    </w:pPr>
    <w:rPr>
      <w:rFonts w:ascii="Myriad Pro" w:eastAsia="Calibri" w:hAnsi="Myriad Pro"/>
      <w:sz w:val="24"/>
    </w:rPr>
  </w:style>
  <w:style w:type="character" w:customStyle="1" w:styleId="A0">
    <w:name w:val="A0"/>
    <w:uiPriority w:val="99"/>
    <w:rsid w:val="00CD628B"/>
    <w:rPr>
      <w:rFonts w:cs="Myriad Pro"/>
      <w:color w:val="000000"/>
      <w:sz w:val="26"/>
      <w:szCs w:val="26"/>
    </w:rPr>
  </w:style>
  <w:style w:type="paragraph" w:customStyle="1" w:styleId="Default">
    <w:name w:val="Default"/>
    <w:rsid w:val="00EB2F7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A4C8F"/>
    <w:pPr>
      <w:spacing w:before="100" w:beforeAutospacing="1" w:after="100" w:afterAutospacing="1"/>
    </w:pPr>
    <w:rPr>
      <w:rFonts w:ascii="Times New Roman" w:eastAsia="Times New Roman" w:hAnsi="Times New Roman"/>
      <w:sz w:val="24"/>
    </w:rPr>
  </w:style>
  <w:style w:type="paragraph" w:styleId="Header">
    <w:name w:val="header"/>
    <w:basedOn w:val="Normal"/>
    <w:link w:val="HeaderChar"/>
    <w:uiPriority w:val="99"/>
    <w:semiHidden/>
    <w:unhideWhenUsed/>
    <w:rsid w:val="008E2D4E"/>
    <w:pPr>
      <w:tabs>
        <w:tab w:val="center" w:pos="4680"/>
        <w:tab w:val="right" w:pos="9360"/>
      </w:tabs>
    </w:pPr>
  </w:style>
  <w:style w:type="character" w:customStyle="1" w:styleId="HeaderChar">
    <w:name w:val="Header Char"/>
    <w:basedOn w:val="DefaultParagraphFont"/>
    <w:link w:val="Header"/>
    <w:uiPriority w:val="99"/>
    <w:semiHidden/>
    <w:rsid w:val="008E2D4E"/>
    <w:rPr>
      <w:rFonts w:eastAsia="Cambria"/>
      <w:sz w:val="22"/>
      <w:szCs w:val="24"/>
    </w:rPr>
  </w:style>
  <w:style w:type="paragraph" w:styleId="Footer">
    <w:name w:val="footer"/>
    <w:basedOn w:val="Normal"/>
    <w:link w:val="FooterChar"/>
    <w:uiPriority w:val="99"/>
    <w:unhideWhenUsed/>
    <w:rsid w:val="008E2D4E"/>
    <w:pPr>
      <w:tabs>
        <w:tab w:val="center" w:pos="4680"/>
        <w:tab w:val="right" w:pos="9360"/>
      </w:tabs>
    </w:pPr>
  </w:style>
  <w:style w:type="character" w:customStyle="1" w:styleId="FooterChar">
    <w:name w:val="Footer Char"/>
    <w:basedOn w:val="DefaultParagraphFont"/>
    <w:link w:val="Footer"/>
    <w:uiPriority w:val="99"/>
    <w:rsid w:val="008E2D4E"/>
    <w:rPr>
      <w:rFonts w:eastAsia="Cambria"/>
      <w:sz w:val="22"/>
      <w:szCs w:val="24"/>
    </w:rPr>
  </w:style>
  <w:style w:type="character" w:styleId="CommentReference">
    <w:name w:val="annotation reference"/>
    <w:basedOn w:val="DefaultParagraphFont"/>
    <w:uiPriority w:val="99"/>
    <w:semiHidden/>
    <w:unhideWhenUsed/>
    <w:rsid w:val="00DB7AAF"/>
    <w:rPr>
      <w:sz w:val="16"/>
      <w:szCs w:val="16"/>
    </w:rPr>
  </w:style>
  <w:style w:type="paragraph" w:styleId="CommentText">
    <w:name w:val="annotation text"/>
    <w:basedOn w:val="Normal"/>
    <w:link w:val="CommentTextChar"/>
    <w:uiPriority w:val="99"/>
    <w:semiHidden/>
    <w:unhideWhenUsed/>
    <w:rsid w:val="00DB7AAF"/>
    <w:rPr>
      <w:sz w:val="20"/>
      <w:szCs w:val="20"/>
    </w:rPr>
  </w:style>
  <w:style w:type="character" w:customStyle="1" w:styleId="CommentTextChar">
    <w:name w:val="Comment Text Char"/>
    <w:basedOn w:val="DefaultParagraphFont"/>
    <w:link w:val="CommentText"/>
    <w:uiPriority w:val="99"/>
    <w:semiHidden/>
    <w:rsid w:val="00DB7AAF"/>
    <w:rPr>
      <w:rFonts w:eastAsia="Cambria"/>
    </w:rPr>
  </w:style>
  <w:style w:type="paragraph" w:styleId="CommentSubject">
    <w:name w:val="annotation subject"/>
    <w:basedOn w:val="CommentText"/>
    <w:next w:val="CommentText"/>
    <w:link w:val="CommentSubjectChar"/>
    <w:uiPriority w:val="99"/>
    <w:semiHidden/>
    <w:unhideWhenUsed/>
    <w:rsid w:val="00DB7AAF"/>
    <w:rPr>
      <w:b/>
      <w:bCs/>
    </w:rPr>
  </w:style>
  <w:style w:type="character" w:customStyle="1" w:styleId="CommentSubjectChar">
    <w:name w:val="Comment Subject Char"/>
    <w:basedOn w:val="CommentTextChar"/>
    <w:link w:val="CommentSubject"/>
    <w:uiPriority w:val="99"/>
    <w:semiHidden/>
    <w:rsid w:val="00DB7AAF"/>
    <w:rPr>
      <w:rFonts w:eastAsia="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9162">
      <w:bodyDiv w:val="1"/>
      <w:marLeft w:val="0"/>
      <w:marRight w:val="0"/>
      <w:marTop w:val="0"/>
      <w:marBottom w:val="0"/>
      <w:divBdr>
        <w:top w:val="none" w:sz="0" w:space="0" w:color="auto"/>
        <w:left w:val="none" w:sz="0" w:space="0" w:color="auto"/>
        <w:bottom w:val="none" w:sz="0" w:space="0" w:color="auto"/>
        <w:right w:val="none" w:sz="0" w:space="0" w:color="auto"/>
      </w:divBdr>
    </w:div>
    <w:div w:id="1176922011">
      <w:bodyDiv w:val="1"/>
      <w:marLeft w:val="0"/>
      <w:marRight w:val="0"/>
      <w:marTop w:val="0"/>
      <w:marBottom w:val="0"/>
      <w:divBdr>
        <w:top w:val="none" w:sz="0" w:space="0" w:color="auto"/>
        <w:left w:val="none" w:sz="0" w:space="0" w:color="auto"/>
        <w:bottom w:val="none" w:sz="0" w:space="0" w:color="auto"/>
        <w:right w:val="none" w:sz="0" w:space="0" w:color="auto"/>
      </w:divBdr>
    </w:div>
    <w:div w:id="1269507841">
      <w:bodyDiv w:val="1"/>
      <w:marLeft w:val="0"/>
      <w:marRight w:val="0"/>
      <w:marTop w:val="0"/>
      <w:marBottom w:val="0"/>
      <w:divBdr>
        <w:top w:val="none" w:sz="0" w:space="0" w:color="auto"/>
        <w:left w:val="none" w:sz="0" w:space="0" w:color="auto"/>
        <w:bottom w:val="none" w:sz="0" w:space="0" w:color="auto"/>
        <w:right w:val="none" w:sz="0" w:space="0" w:color="auto"/>
      </w:divBdr>
      <w:divsChild>
        <w:div w:id="1910729711">
          <w:marLeft w:val="0"/>
          <w:marRight w:val="0"/>
          <w:marTop w:val="0"/>
          <w:marBottom w:val="0"/>
          <w:divBdr>
            <w:top w:val="none" w:sz="0" w:space="0" w:color="auto"/>
            <w:left w:val="none" w:sz="0" w:space="0" w:color="auto"/>
            <w:bottom w:val="none" w:sz="0" w:space="0" w:color="auto"/>
            <w:right w:val="none" w:sz="0" w:space="0" w:color="auto"/>
          </w:divBdr>
        </w:div>
      </w:divsChild>
    </w:div>
    <w:div w:id="1538591191">
      <w:bodyDiv w:val="1"/>
      <w:marLeft w:val="0"/>
      <w:marRight w:val="0"/>
      <w:marTop w:val="0"/>
      <w:marBottom w:val="0"/>
      <w:divBdr>
        <w:top w:val="none" w:sz="0" w:space="0" w:color="auto"/>
        <w:left w:val="none" w:sz="0" w:space="0" w:color="auto"/>
        <w:bottom w:val="none" w:sz="0" w:space="0" w:color="auto"/>
        <w:right w:val="none" w:sz="0" w:space="0" w:color="auto"/>
      </w:divBdr>
    </w:div>
    <w:div w:id="1593775842">
      <w:bodyDiv w:val="1"/>
      <w:marLeft w:val="0"/>
      <w:marRight w:val="0"/>
      <w:marTop w:val="0"/>
      <w:marBottom w:val="0"/>
      <w:divBdr>
        <w:top w:val="none" w:sz="0" w:space="0" w:color="auto"/>
        <w:left w:val="none" w:sz="0" w:space="0" w:color="auto"/>
        <w:bottom w:val="none" w:sz="0" w:space="0" w:color="auto"/>
        <w:right w:val="none" w:sz="0" w:space="0" w:color="auto"/>
      </w:divBdr>
    </w:div>
    <w:div w:id="1672752126">
      <w:bodyDiv w:val="1"/>
      <w:marLeft w:val="0"/>
      <w:marRight w:val="0"/>
      <w:marTop w:val="0"/>
      <w:marBottom w:val="0"/>
      <w:divBdr>
        <w:top w:val="none" w:sz="0" w:space="0" w:color="auto"/>
        <w:left w:val="none" w:sz="0" w:space="0" w:color="auto"/>
        <w:bottom w:val="none" w:sz="0" w:space="0" w:color="auto"/>
        <w:right w:val="none" w:sz="0" w:space="0" w:color="auto"/>
      </w:divBdr>
      <w:divsChild>
        <w:div w:id="1886602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22339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2223391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ortal.ncdenr.org/c/document_library/get_file?uuid=199a62d4-3066-4e24-a3f1-088c6932483a&amp;groupId=38364" TargetMode="External"/><Relationship Id="rId4" Type="http://schemas.openxmlformats.org/officeDocument/2006/relationships/webSettings" Target="webSettings.xml"/><Relationship Id="rId9" Type="http://schemas.openxmlformats.org/officeDocument/2006/relationships/hyperlink" Target="http://www.ncbi.nlm.nih.gov/pubmed/219054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1790</Words>
  <Characters>10207</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11974</CharactersWithSpaces>
  <SharedDoc>false</SharedDoc>
  <HLinks>
    <vt:vector size="24" baseType="variant">
      <vt:variant>
        <vt:i4>6225989</vt:i4>
      </vt:variant>
      <vt:variant>
        <vt:i4>9</vt:i4>
      </vt:variant>
      <vt:variant>
        <vt:i4>0</vt:i4>
      </vt:variant>
      <vt:variant>
        <vt:i4>5</vt:i4>
      </vt:variant>
      <vt:variant>
        <vt:lpwstr>http://portal.ncdenr.org/c/document_library/get_file?uuid=199a62d4-3066-4e24-a3f1-088c6932483a&amp;groupId=38364</vt:lpwstr>
      </vt:variant>
      <vt:variant>
        <vt:lpwstr/>
      </vt:variant>
      <vt:variant>
        <vt:i4>4063267</vt:i4>
      </vt:variant>
      <vt:variant>
        <vt:i4>6</vt:i4>
      </vt:variant>
      <vt:variant>
        <vt:i4>0</vt:i4>
      </vt:variant>
      <vt:variant>
        <vt:i4>5</vt:i4>
      </vt:variant>
      <vt:variant>
        <vt:lpwstr>http://www.ncbi.nlm.nih.gov/pubmed/21905407</vt:lpwstr>
      </vt:variant>
      <vt:variant>
        <vt:lpwstr/>
      </vt:variant>
      <vt:variant>
        <vt:i4>3276846</vt:i4>
      </vt:variant>
      <vt:variant>
        <vt:i4>3</vt:i4>
      </vt:variant>
      <vt:variant>
        <vt:i4>0</vt:i4>
      </vt:variant>
      <vt:variant>
        <vt:i4>5</vt:i4>
      </vt:variant>
      <vt:variant>
        <vt:lpwstr>http://www.ncbi.nlm.nih.gov/pubmed/22233916</vt:lpwstr>
      </vt:variant>
      <vt:variant>
        <vt:lpwstr/>
      </vt:variant>
      <vt:variant>
        <vt:i4>3276846</vt:i4>
      </vt:variant>
      <vt:variant>
        <vt:i4>0</vt:i4>
      </vt:variant>
      <vt:variant>
        <vt:i4>0</vt:i4>
      </vt:variant>
      <vt:variant>
        <vt:i4>5</vt:i4>
      </vt:variant>
      <vt:variant>
        <vt:lpwstr>http://www.ncbi.nlm.nih.gov/pubmed/22233916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nshanstrom</dc:creator>
  <cp:lastModifiedBy>Trojan, Mike</cp:lastModifiedBy>
  <cp:revision>2</cp:revision>
  <cp:lastPrinted>2013-06-12T21:13:00Z</cp:lastPrinted>
  <dcterms:created xsi:type="dcterms:W3CDTF">2013-11-26T17:38:00Z</dcterms:created>
  <dcterms:modified xsi:type="dcterms:W3CDTF">2013-11-26T17:38:00Z</dcterms:modified>
</cp:coreProperties>
</file>