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9E" w:rsidRPr="00170F9E" w:rsidRDefault="008E1892" w:rsidP="00170F9E">
      <w:pPr>
        <w:autoSpaceDE w:val="0"/>
        <w:autoSpaceDN w:val="0"/>
        <w:adjustRightInd w:val="0"/>
        <w:rPr>
          <w:rFonts w:eastAsia="Times New Roman" w:cs="Calibri"/>
          <w:b/>
          <w:sz w:val="28"/>
          <w:szCs w:val="28"/>
        </w:rPr>
      </w:pPr>
      <w:bookmarkStart w:id="0" w:name="_GoBack"/>
      <w:bookmarkEnd w:id="0"/>
      <w:r>
        <w:rPr>
          <w:rFonts w:eastAsia="Times New Roman" w:cs="Calibri"/>
          <w:b/>
          <w:sz w:val="28"/>
          <w:szCs w:val="28"/>
        </w:rPr>
        <w:t xml:space="preserve">REPORT </w:t>
      </w:r>
      <w:r w:rsidR="00ED1A81">
        <w:rPr>
          <w:rFonts w:eastAsia="Times New Roman" w:cs="Calibri"/>
          <w:b/>
          <w:sz w:val="28"/>
          <w:szCs w:val="28"/>
        </w:rPr>
        <w:t>for</w:t>
      </w:r>
      <w:r w:rsidR="00170F9E" w:rsidRPr="00170F9E">
        <w:rPr>
          <w:rFonts w:eastAsia="Times New Roman" w:cs="Calibri"/>
          <w:b/>
          <w:sz w:val="28"/>
          <w:szCs w:val="28"/>
        </w:rPr>
        <w:t xml:space="preserve"> OBJ2.TASK </w:t>
      </w:r>
      <w:r w:rsidR="00394FBF">
        <w:rPr>
          <w:rFonts w:eastAsia="Times New Roman" w:cs="Calibri"/>
          <w:b/>
          <w:sz w:val="28"/>
          <w:szCs w:val="28"/>
        </w:rPr>
        <w:t>2</w:t>
      </w:r>
      <w:r w:rsidR="00170F9E" w:rsidRPr="00170F9E">
        <w:rPr>
          <w:rFonts w:eastAsia="Times New Roman" w:cs="Calibri"/>
          <w:b/>
          <w:sz w:val="28"/>
          <w:szCs w:val="28"/>
        </w:rPr>
        <w:t xml:space="preserve">: </w:t>
      </w:r>
      <w:r w:rsidR="00394FBF" w:rsidRPr="00394FBF">
        <w:rPr>
          <w:rFonts w:eastAsia="Times New Roman" w:cs="Calibri"/>
          <w:b/>
          <w:sz w:val="28"/>
          <w:szCs w:val="28"/>
        </w:rPr>
        <w:t>DIFFERENTIATING FILTRATION, INFILTRATION, BIORETENTION</w:t>
      </w:r>
    </w:p>
    <w:p w:rsidR="00776500" w:rsidRPr="00776500" w:rsidRDefault="00776500" w:rsidP="00776500">
      <w:pPr>
        <w:autoSpaceDE w:val="0"/>
        <w:autoSpaceDN w:val="0"/>
        <w:adjustRightInd w:val="0"/>
        <w:rPr>
          <w:rFonts w:eastAsia="Times New Roman" w:cs="Calibri"/>
          <w:szCs w:val="22"/>
        </w:rPr>
      </w:pPr>
      <w:r w:rsidRPr="00776500">
        <w:rPr>
          <w:rFonts w:eastAsia="Times New Roman" w:cs="Calibri"/>
          <w:szCs w:val="22"/>
        </w:rPr>
        <w:t>To: MPCA</w:t>
      </w:r>
    </w:p>
    <w:p w:rsidR="00776500" w:rsidRDefault="00776500" w:rsidP="00776500">
      <w:pPr>
        <w:autoSpaceDE w:val="0"/>
        <w:autoSpaceDN w:val="0"/>
        <w:adjustRightInd w:val="0"/>
        <w:rPr>
          <w:rFonts w:eastAsia="Times New Roman" w:cs="Calibri"/>
          <w:szCs w:val="22"/>
        </w:rPr>
      </w:pPr>
      <w:r w:rsidRPr="00776500">
        <w:rPr>
          <w:rFonts w:eastAsia="Times New Roman" w:cs="Calibri"/>
          <w:szCs w:val="22"/>
        </w:rPr>
        <w:t xml:space="preserve">From: The Kestrel Design Group Team (The Kestrel Design Group Inc, with </w:t>
      </w:r>
      <w:r w:rsidR="00211C0B">
        <w:rPr>
          <w:rFonts w:eastAsia="Times New Roman" w:cs="Calibri"/>
          <w:szCs w:val="22"/>
        </w:rPr>
        <w:t xml:space="preserve">Dr. </w:t>
      </w:r>
      <w:r w:rsidRPr="00776500">
        <w:rPr>
          <w:rFonts w:eastAsia="Times New Roman" w:cs="Calibri"/>
          <w:szCs w:val="22"/>
        </w:rPr>
        <w:t>William Hunt, PE, Ryan Winston, PE, Dwayne Stenlund – Minnesota Department of Transportation, Dr. John Gulliver, PE  – University of Minnesota</w:t>
      </w:r>
      <w:r w:rsidR="000125FD">
        <w:rPr>
          <w:rFonts w:eastAsia="Times New Roman" w:cs="Calibri"/>
          <w:szCs w:val="22"/>
        </w:rPr>
        <w:t>)</w:t>
      </w:r>
    </w:p>
    <w:p w:rsidR="00776500" w:rsidRDefault="00776500" w:rsidP="00776500">
      <w:pPr>
        <w:autoSpaceDE w:val="0"/>
        <w:autoSpaceDN w:val="0"/>
        <w:adjustRightInd w:val="0"/>
        <w:rPr>
          <w:rFonts w:eastAsia="Times New Roman" w:cs="Calibri"/>
          <w:szCs w:val="22"/>
        </w:rPr>
      </w:pPr>
      <w:r>
        <w:rPr>
          <w:rFonts w:eastAsia="Times New Roman" w:cs="Calibri"/>
          <w:szCs w:val="22"/>
        </w:rPr>
        <w:t xml:space="preserve">Date: </w:t>
      </w:r>
      <w:r w:rsidR="00D56719">
        <w:rPr>
          <w:rFonts w:eastAsia="Times New Roman" w:cs="Calibri"/>
          <w:szCs w:val="22"/>
        </w:rPr>
        <w:t>July 2</w:t>
      </w:r>
      <w:r w:rsidR="002703DB">
        <w:rPr>
          <w:rFonts w:eastAsia="Times New Roman" w:cs="Calibri"/>
          <w:szCs w:val="22"/>
        </w:rPr>
        <w:t>9</w:t>
      </w:r>
      <w:r>
        <w:rPr>
          <w:rFonts w:eastAsia="Times New Roman" w:cs="Calibri"/>
          <w:szCs w:val="22"/>
        </w:rPr>
        <w:t>, 2013</w:t>
      </w:r>
    </w:p>
    <w:p w:rsidR="00776500" w:rsidRDefault="00776500" w:rsidP="00776500">
      <w:pPr>
        <w:autoSpaceDE w:val="0"/>
        <w:autoSpaceDN w:val="0"/>
        <w:adjustRightInd w:val="0"/>
        <w:rPr>
          <w:rFonts w:eastAsia="Times New Roman" w:cs="Calibri"/>
          <w:szCs w:val="22"/>
        </w:rPr>
      </w:pPr>
      <w:r>
        <w:rPr>
          <w:rFonts w:eastAsia="Times New Roman" w:cs="Calibri"/>
          <w:szCs w:val="22"/>
        </w:rPr>
        <w:t xml:space="preserve">Re: Contract </w:t>
      </w:r>
      <w:r w:rsidR="00170F9E" w:rsidRPr="00170F9E">
        <w:rPr>
          <w:rFonts w:eastAsia="Times New Roman" w:cs="Calibri"/>
          <w:szCs w:val="22"/>
        </w:rPr>
        <w:t xml:space="preserve">CR5332 </w:t>
      </w:r>
      <w:r w:rsidR="00170F9E">
        <w:rPr>
          <w:rFonts w:eastAsia="Times New Roman" w:cs="Calibri"/>
          <w:szCs w:val="22"/>
        </w:rPr>
        <w:t xml:space="preserve">Objective 2 Task </w:t>
      </w:r>
      <w:r w:rsidR="00394FBF">
        <w:rPr>
          <w:rFonts w:eastAsia="Times New Roman" w:cs="Calibri"/>
          <w:szCs w:val="22"/>
        </w:rPr>
        <w:t>2</w:t>
      </w:r>
    </w:p>
    <w:p w:rsidR="00AB601F" w:rsidRDefault="00AB601F" w:rsidP="00776500">
      <w:pPr>
        <w:autoSpaceDE w:val="0"/>
        <w:autoSpaceDN w:val="0"/>
        <w:adjustRightInd w:val="0"/>
        <w:rPr>
          <w:rFonts w:eastAsia="Times New Roman" w:cs="Calibri"/>
          <w:b/>
          <w:sz w:val="28"/>
          <w:szCs w:val="28"/>
        </w:rPr>
      </w:pPr>
    </w:p>
    <w:p w:rsidR="00170F9E" w:rsidRPr="00170F9E" w:rsidRDefault="00170F9E" w:rsidP="00776500">
      <w:pPr>
        <w:autoSpaceDE w:val="0"/>
        <w:autoSpaceDN w:val="0"/>
        <w:adjustRightInd w:val="0"/>
        <w:rPr>
          <w:rFonts w:eastAsia="Times New Roman" w:cs="Calibri"/>
          <w:b/>
          <w:sz w:val="28"/>
          <w:szCs w:val="28"/>
        </w:rPr>
      </w:pPr>
      <w:r w:rsidRPr="00170F9E">
        <w:rPr>
          <w:rFonts w:eastAsia="Times New Roman" w:cs="Calibri"/>
          <w:b/>
          <w:sz w:val="28"/>
          <w:szCs w:val="28"/>
        </w:rPr>
        <w:t>SCOPE</w:t>
      </w:r>
    </w:p>
    <w:p w:rsidR="00394FBF" w:rsidRPr="00351DA9" w:rsidRDefault="00394FBF" w:rsidP="00394FBF">
      <w:pPr>
        <w:autoSpaceDE w:val="0"/>
        <w:autoSpaceDN w:val="0"/>
        <w:adjustRightInd w:val="0"/>
        <w:rPr>
          <w:rFonts w:eastAsia="Times New Roman"/>
          <w:b/>
          <w:szCs w:val="22"/>
        </w:rPr>
      </w:pPr>
      <w:r w:rsidRPr="00351DA9">
        <w:rPr>
          <w:rFonts w:eastAsia="Times New Roman"/>
          <w:b/>
          <w:szCs w:val="22"/>
        </w:rPr>
        <w:t>Obj2.Task 2: Differentiating Filtration, Infiltration, Bioretention:</w:t>
      </w:r>
    </w:p>
    <w:p w:rsidR="00394FBF" w:rsidRPr="00351DA9" w:rsidRDefault="00394FBF" w:rsidP="00394FBF">
      <w:pPr>
        <w:pStyle w:val="ListParagraph"/>
        <w:numPr>
          <w:ilvl w:val="0"/>
          <w:numId w:val="24"/>
        </w:numPr>
        <w:spacing w:before="60" w:after="0" w:line="240" w:lineRule="auto"/>
      </w:pPr>
      <w:r w:rsidRPr="00351DA9">
        <w:t>Review literature and new research on bioretention, infiltration and filtration BMPs. Included in this is a review of case studies that differentiate infiltration, bioretention, and filtration BMPs as well as subsets of these BMPs (e.g. infiltration trenches and infiltration basins for infiltration BMPs, rain gardens with and without an underdrain for bioretention BMPs, etc.).</w:t>
      </w:r>
    </w:p>
    <w:p w:rsidR="00394FBF" w:rsidRPr="00351DA9" w:rsidRDefault="00394FBF" w:rsidP="00394FBF">
      <w:pPr>
        <w:pStyle w:val="ListParagraph"/>
        <w:numPr>
          <w:ilvl w:val="0"/>
          <w:numId w:val="24"/>
        </w:numPr>
        <w:spacing w:before="60" w:after="0" w:line="240" w:lineRule="auto"/>
      </w:pPr>
      <w:r w:rsidRPr="00351DA9">
        <w:t>Prepare and submit a Technical memo that includes definitions, examples and graphics that differentiate filtration, bioretention and infiltration BMPs and different types of filtration, bioretention and infiltration BMPs.</w:t>
      </w:r>
    </w:p>
    <w:p w:rsidR="00394FBF" w:rsidRPr="00351DA9" w:rsidRDefault="00394FBF" w:rsidP="00394FBF">
      <w:pPr>
        <w:pStyle w:val="ListParagraph"/>
        <w:numPr>
          <w:ilvl w:val="0"/>
          <w:numId w:val="24"/>
        </w:numPr>
        <w:spacing w:before="60" w:after="0" w:line="240" w:lineRule="auto"/>
      </w:pPr>
      <w:r w:rsidRPr="00351DA9">
        <w:t xml:space="preserve">Prepare and submit a report, including examples and graphics, containing definitions that differentiate filtration, bioretention and infiltration BMPs and different types of filtration, bioretention and infiltration BMPs.  </w:t>
      </w:r>
    </w:p>
    <w:p w:rsidR="00394FBF" w:rsidRDefault="00394FBF" w:rsidP="00776500">
      <w:pPr>
        <w:autoSpaceDE w:val="0"/>
        <w:autoSpaceDN w:val="0"/>
        <w:adjustRightInd w:val="0"/>
        <w:ind w:left="720"/>
        <w:rPr>
          <w:rFonts w:eastAsia="Times New Roman" w:cs="Calibri"/>
          <w:szCs w:val="22"/>
        </w:rPr>
      </w:pPr>
    </w:p>
    <w:p w:rsidR="004F2C69" w:rsidRPr="005D2AD6" w:rsidRDefault="004F2C69" w:rsidP="004F2C69">
      <w:pPr>
        <w:autoSpaceDE w:val="0"/>
        <w:autoSpaceDN w:val="0"/>
        <w:adjustRightInd w:val="0"/>
        <w:rPr>
          <w:rFonts w:eastAsia="Times New Roman" w:cs="Calibri"/>
          <w:b/>
          <w:sz w:val="28"/>
          <w:szCs w:val="28"/>
        </w:rPr>
      </w:pPr>
      <w:r w:rsidRPr="005D2AD6">
        <w:rPr>
          <w:rFonts w:eastAsia="Times New Roman" w:cs="Calibri"/>
          <w:b/>
          <w:sz w:val="28"/>
          <w:szCs w:val="28"/>
        </w:rPr>
        <w:t>NEXT STEPS RE</w:t>
      </w:r>
      <w:r w:rsidR="005F624D">
        <w:rPr>
          <w:rFonts w:eastAsia="Times New Roman" w:cs="Calibri"/>
          <w:b/>
          <w:sz w:val="28"/>
          <w:szCs w:val="28"/>
        </w:rPr>
        <w:t>QUESTED BY</w:t>
      </w:r>
      <w:r w:rsidR="005F624D" w:rsidRPr="005F624D">
        <w:rPr>
          <w:rFonts w:eastAsia="Times New Roman" w:cs="Calibri"/>
          <w:b/>
          <w:sz w:val="28"/>
          <w:szCs w:val="28"/>
        </w:rPr>
        <w:t xml:space="preserve"> </w:t>
      </w:r>
      <w:r w:rsidR="005F624D" w:rsidRPr="005D2AD6">
        <w:rPr>
          <w:rFonts w:eastAsia="Times New Roman" w:cs="Calibri"/>
          <w:b/>
          <w:sz w:val="28"/>
          <w:szCs w:val="28"/>
        </w:rPr>
        <w:t>MIKE TROJAN</w:t>
      </w:r>
      <w:r w:rsidRPr="005D2AD6">
        <w:rPr>
          <w:rFonts w:eastAsia="Times New Roman" w:cs="Calibri"/>
          <w:b/>
          <w:sz w:val="28"/>
          <w:szCs w:val="28"/>
        </w:rPr>
        <w:t xml:space="preserve"> 3/4/2013, AFTER FEB</w:t>
      </w:r>
      <w:r w:rsidR="00202EFC">
        <w:rPr>
          <w:rFonts w:eastAsia="Times New Roman" w:cs="Calibri"/>
          <w:b/>
          <w:sz w:val="28"/>
          <w:szCs w:val="28"/>
        </w:rPr>
        <w:t>RUARY</w:t>
      </w:r>
      <w:r w:rsidRPr="005D2AD6">
        <w:rPr>
          <w:rFonts w:eastAsia="Times New Roman" w:cs="Calibri"/>
          <w:b/>
          <w:sz w:val="28"/>
          <w:szCs w:val="28"/>
        </w:rPr>
        <w:t xml:space="preserve"> WORKSHOPS:</w:t>
      </w:r>
    </w:p>
    <w:p w:rsidR="004F2C69" w:rsidRDefault="004F2C69" w:rsidP="004F2C69">
      <w:pPr>
        <w:numPr>
          <w:ilvl w:val="0"/>
          <w:numId w:val="26"/>
        </w:numPr>
      </w:pPr>
      <w:r>
        <w:t>To complete task 2, I recommend building on the table that Barr produced in their March 11, 2011 memo.  Incorporate recommended changes from the workshop (see the workshop notes I distributed).  Submit this as a final product.</w:t>
      </w:r>
    </w:p>
    <w:p w:rsidR="004F2C69" w:rsidRDefault="004F2C69" w:rsidP="004F2C69"/>
    <w:p w:rsidR="004F2C69" w:rsidRDefault="004F2C69" w:rsidP="004F2C69">
      <w:pPr>
        <w:numPr>
          <w:ilvl w:val="0"/>
          <w:numId w:val="26"/>
        </w:numPr>
      </w:pPr>
      <w:r>
        <w:t>Have you looked into the graphics portion of this task?  There are graphics in the current manual.  No need to be redundant if they are acceptable. Photos, if available, would be useful.</w:t>
      </w:r>
    </w:p>
    <w:p w:rsidR="004F2C69" w:rsidRDefault="004F2C69" w:rsidP="004F2C69">
      <w:pPr>
        <w:autoSpaceDE w:val="0"/>
        <w:autoSpaceDN w:val="0"/>
        <w:adjustRightInd w:val="0"/>
        <w:rPr>
          <w:rFonts w:eastAsia="Times New Roman" w:cs="Calibri"/>
          <w:b/>
          <w:sz w:val="28"/>
          <w:szCs w:val="28"/>
        </w:rPr>
      </w:pPr>
    </w:p>
    <w:p w:rsidR="004F2C69" w:rsidRDefault="004F2C69" w:rsidP="004F2C69">
      <w:pPr>
        <w:autoSpaceDE w:val="0"/>
        <w:autoSpaceDN w:val="0"/>
        <w:adjustRightInd w:val="0"/>
        <w:rPr>
          <w:rFonts w:eastAsia="Times New Roman" w:cs="Calibri"/>
          <w:b/>
          <w:sz w:val="28"/>
          <w:szCs w:val="28"/>
        </w:rPr>
      </w:pPr>
      <w:r w:rsidRPr="005D2AD6">
        <w:rPr>
          <w:rFonts w:eastAsia="Times New Roman" w:cs="Calibri"/>
          <w:b/>
          <w:sz w:val="28"/>
          <w:szCs w:val="28"/>
        </w:rPr>
        <w:t>MIKE TROJAN’S</w:t>
      </w:r>
      <w:r>
        <w:rPr>
          <w:rFonts w:eastAsia="Times New Roman" w:cs="Calibri"/>
          <w:b/>
          <w:sz w:val="28"/>
          <w:szCs w:val="28"/>
        </w:rPr>
        <w:t xml:space="preserve"> MEETING MINUTES</w:t>
      </w:r>
      <w:r w:rsidR="00202EFC">
        <w:rPr>
          <w:rFonts w:eastAsia="Times New Roman" w:cs="Calibri"/>
          <w:b/>
          <w:sz w:val="28"/>
          <w:szCs w:val="28"/>
        </w:rPr>
        <w:t xml:space="preserve"> FROM </w:t>
      </w:r>
      <w:r w:rsidR="00202EFC" w:rsidRPr="005D2AD6">
        <w:rPr>
          <w:rFonts w:eastAsia="Times New Roman" w:cs="Calibri"/>
          <w:b/>
          <w:sz w:val="28"/>
          <w:szCs w:val="28"/>
        </w:rPr>
        <w:t>FEB</w:t>
      </w:r>
      <w:r w:rsidR="00202EFC">
        <w:rPr>
          <w:rFonts w:eastAsia="Times New Roman" w:cs="Calibri"/>
          <w:b/>
          <w:sz w:val="28"/>
          <w:szCs w:val="28"/>
        </w:rPr>
        <w:t>RUARY</w:t>
      </w:r>
      <w:r w:rsidR="00202EFC" w:rsidRPr="005D2AD6">
        <w:rPr>
          <w:rFonts w:eastAsia="Times New Roman" w:cs="Calibri"/>
          <w:b/>
          <w:sz w:val="28"/>
          <w:szCs w:val="28"/>
        </w:rPr>
        <w:t xml:space="preserve"> WORKSHOPS</w:t>
      </w:r>
      <w:r>
        <w:rPr>
          <w:rFonts w:eastAsia="Times New Roman" w:cs="Calibri"/>
          <w:b/>
          <w:sz w:val="28"/>
          <w:szCs w:val="28"/>
        </w:rPr>
        <w:t>:</w:t>
      </w:r>
    </w:p>
    <w:p w:rsidR="004F2C69" w:rsidRDefault="004F2C69" w:rsidP="004F2C69">
      <w:pPr>
        <w:pStyle w:val="ListParagraph"/>
        <w:numPr>
          <w:ilvl w:val="1"/>
          <w:numId w:val="27"/>
        </w:numPr>
        <w:spacing w:after="0" w:line="240" w:lineRule="auto"/>
      </w:pPr>
      <w:r>
        <w:t>Nathalie went through definitions in draft document prepared by kestrel</w:t>
      </w:r>
    </w:p>
    <w:p w:rsidR="004F2C69" w:rsidRDefault="004F2C69" w:rsidP="004F2C69">
      <w:pPr>
        <w:pStyle w:val="ListParagraph"/>
        <w:numPr>
          <w:ilvl w:val="1"/>
          <w:numId w:val="27"/>
        </w:numPr>
        <w:spacing w:after="0" w:line="240" w:lineRule="auto"/>
      </w:pPr>
      <w:r>
        <w:t>Question about 2 acre minimum – general agreement these systems can accommodate larger areas</w:t>
      </w:r>
    </w:p>
    <w:p w:rsidR="004F2C69" w:rsidRDefault="004F2C69" w:rsidP="004F2C69">
      <w:pPr>
        <w:pStyle w:val="ListParagraph"/>
        <w:numPr>
          <w:ilvl w:val="1"/>
          <w:numId w:val="27"/>
        </w:numPr>
        <w:spacing w:after="0" w:line="240" w:lineRule="auto"/>
      </w:pPr>
      <w:r>
        <w:t>Restrictions may be a function of seasonal high water table (3 feet separation required in Minnesota), with or without underdrains</w:t>
      </w:r>
    </w:p>
    <w:p w:rsidR="004F2C69" w:rsidRDefault="004F2C69" w:rsidP="004F2C69">
      <w:pPr>
        <w:pStyle w:val="ListParagraph"/>
        <w:numPr>
          <w:ilvl w:val="1"/>
          <w:numId w:val="27"/>
        </w:numPr>
        <w:spacing w:after="0" w:line="240" w:lineRule="auto"/>
      </w:pPr>
      <w:r>
        <w:lastRenderedPageBreak/>
        <w:t>The calculator will likely incorporate recommendations for the Manual</w:t>
      </w:r>
    </w:p>
    <w:p w:rsidR="004F2C69" w:rsidRDefault="004F2C69" w:rsidP="004F2C69">
      <w:pPr>
        <w:pStyle w:val="ListParagraph"/>
        <w:numPr>
          <w:ilvl w:val="1"/>
          <w:numId w:val="27"/>
        </w:numPr>
        <w:spacing w:after="0" w:line="240" w:lineRule="auto"/>
      </w:pPr>
      <w:r>
        <w:t>There are no permit requirements for contributing area – just recommendations</w:t>
      </w:r>
    </w:p>
    <w:p w:rsidR="004F2C69" w:rsidRPr="007B033C" w:rsidRDefault="004F2C69" w:rsidP="004F2C69">
      <w:pPr>
        <w:pStyle w:val="ListParagraph"/>
        <w:numPr>
          <w:ilvl w:val="1"/>
          <w:numId w:val="27"/>
        </w:numPr>
        <w:spacing w:after="0" w:line="240" w:lineRule="auto"/>
        <w:rPr>
          <w:highlight w:val="yellow"/>
        </w:rPr>
      </w:pPr>
      <w:r w:rsidRPr="007B033C">
        <w:rPr>
          <w:highlight w:val="yellow"/>
        </w:rPr>
        <w:t>Decision – change language to “typically 5 acres or less”</w:t>
      </w:r>
    </w:p>
    <w:p w:rsidR="004F2C69" w:rsidRDefault="004F2C69" w:rsidP="004F2C69">
      <w:pPr>
        <w:pStyle w:val="ListParagraph"/>
        <w:numPr>
          <w:ilvl w:val="1"/>
          <w:numId w:val="27"/>
        </w:numPr>
        <w:spacing w:after="0" w:line="240" w:lineRule="auto"/>
      </w:pPr>
      <w:r>
        <w:t>Rationale – there is no reason these systems cannot accommodate larger areas provided they are properly designed, constructed and maintained. A number of these systems with contributing areas greater than 5 acres have been built.  As a system increases in size, pre-treatment becomes more important.</w:t>
      </w:r>
    </w:p>
    <w:p w:rsidR="004F2C69" w:rsidRDefault="004F2C69" w:rsidP="004F2C69">
      <w:pPr>
        <w:pStyle w:val="ListParagraph"/>
        <w:numPr>
          <w:ilvl w:val="1"/>
          <w:numId w:val="27"/>
        </w:numPr>
        <w:spacing w:after="0" w:line="240" w:lineRule="auto"/>
      </w:pPr>
      <w:r w:rsidRPr="007B033C">
        <w:rPr>
          <w:highlight w:val="yellow"/>
        </w:rPr>
        <w:t>In the Manual, will have BMPs identified as Infiltration Practices or Filtration practices.</w:t>
      </w:r>
      <w:r>
        <w:t xml:space="preserve">  There may be some redundancy between sections within these two but that is acceptable.  Examples of Infiltration practices include Bioinfiltration, Infiltration trench, and infiltration basin.  Examples of filtration BMPs are Biofiltration, Swales, Sand filter.</w:t>
      </w:r>
    </w:p>
    <w:p w:rsidR="004F2C69" w:rsidRDefault="004F2C69" w:rsidP="004F2C69">
      <w:pPr>
        <w:pStyle w:val="ListParagraph"/>
        <w:numPr>
          <w:ilvl w:val="1"/>
          <w:numId w:val="27"/>
        </w:numPr>
        <w:spacing w:after="0" w:line="240" w:lineRule="auto"/>
      </w:pPr>
      <w:r>
        <w:t>Keep bioretention as part of heading for bioinfiltration and filtration because people are used to the terms.</w:t>
      </w:r>
    </w:p>
    <w:p w:rsidR="004F2C69" w:rsidRDefault="004F2C69" w:rsidP="004F2C69">
      <w:pPr>
        <w:pStyle w:val="ListParagraph"/>
        <w:numPr>
          <w:ilvl w:val="1"/>
          <w:numId w:val="27"/>
        </w:numPr>
        <w:spacing w:after="0" w:line="240" w:lineRule="auto"/>
      </w:pPr>
      <w:r>
        <w:t>Bioinfiltration vs. biofiltration: no underdrains vs. underdrains</w:t>
      </w:r>
    </w:p>
    <w:p w:rsidR="004F2C69" w:rsidRPr="007B033C" w:rsidRDefault="004F2C69" w:rsidP="004F2C69">
      <w:pPr>
        <w:pStyle w:val="ListParagraph"/>
        <w:numPr>
          <w:ilvl w:val="1"/>
          <w:numId w:val="27"/>
        </w:numPr>
        <w:spacing w:after="0" w:line="240" w:lineRule="auto"/>
        <w:rPr>
          <w:highlight w:val="yellow"/>
        </w:rPr>
      </w:pPr>
      <w:r w:rsidRPr="007B033C">
        <w:rPr>
          <w:highlight w:val="yellow"/>
        </w:rPr>
        <w:t>Manual will provide clear definitions for these, including a table so people can compare the different BMPs</w:t>
      </w:r>
    </w:p>
    <w:p w:rsidR="004F2C69" w:rsidRPr="007B033C" w:rsidRDefault="004F2C69" w:rsidP="004F2C69">
      <w:pPr>
        <w:pStyle w:val="ListParagraph"/>
        <w:numPr>
          <w:ilvl w:val="1"/>
          <w:numId w:val="27"/>
        </w:numPr>
        <w:spacing w:after="0" w:line="240" w:lineRule="auto"/>
        <w:rPr>
          <w:highlight w:val="yellow"/>
        </w:rPr>
      </w:pPr>
      <w:r w:rsidRPr="007B033C">
        <w:rPr>
          <w:highlight w:val="yellow"/>
        </w:rPr>
        <w:t>Strike maximum impervious from the definition</w:t>
      </w:r>
    </w:p>
    <w:p w:rsidR="004F2C69" w:rsidRDefault="004F2C69" w:rsidP="004F2C69">
      <w:pPr>
        <w:pStyle w:val="ListParagraph"/>
        <w:numPr>
          <w:ilvl w:val="1"/>
          <w:numId w:val="27"/>
        </w:numPr>
        <w:spacing w:after="0" w:line="240" w:lineRule="auto"/>
      </w:pPr>
      <w:r>
        <w:t>Need to make sure we explain the difference between bioretention and infiltration systems because some infiltration systems have plants.  Bio has design media, infiltration does not.  Also differ in max ponding depth, where they sit in treatment train (infiltration is at the end of the train while bio can be in different locations)</w:t>
      </w:r>
    </w:p>
    <w:p w:rsidR="004F2C69" w:rsidRDefault="004F2C69" w:rsidP="00170F9E">
      <w:pPr>
        <w:rPr>
          <w:rFonts w:eastAsia="Times New Roman" w:cs="Calibri"/>
          <w:b/>
          <w:sz w:val="28"/>
          <w:szCs w:val="28"/>
        </w:rPr>
      </w:pPr>
    </w:p>
    <w:p w:rsidR="00202EFC" w:rsidRDefault="00202EFC" w:rsidP="00202EFC">
      <w:pPr>
        <w:rPr>
          <w:rFonts w:eastAsia="Times New Roman" w:cs="Calibri"/>
          <w:b/>
          <w:sz w:val="28"/>
          <w:szCs w:val="28"/>
        </w:rPr>
      </w:pPr>
      <w:r>
        <w:rPr>
          <w:rFonts w:eastAsia="Times New Roman" w:cs="Calibri"/>
          <w:b/>
          <w:sz w:val="28"/>
          <w:szCs w:val="28"/>
        </w:rPr>
        <w:t>LIST OF FIGURES</w:t>
      </w:r>
    </w:p>
    <w:p w:rsidR="00202EFC" w:rsidRPr="00202EFC" w:rsidRDefault="00202EFC" w:rsidP="00202EFC">
      <w:r w:rsidRPr="00202EFC">
        <w:t>Figure 2.1: Bioinfiltration</w:t>
      </w:r>
    </w:p>
    <w:p w:rsidR="00202EFC" w:rsidRDefault="00202EFC" w:rsidP="00202EFC">
      <w:r w:rsidRPr="00202EFC">
        <w:t>Figure 2.</w:t>
      </w:r>
      <w:r>
        <w:t>2: Bio</w:t>
      </w:r>
      <w:r w:rsidRPr="00202EFC">
        <w:t>filtration</w:t>
      </w:r>
      <w:r>
        <w:t xml:space="preserve"> with underdrain at bottom</w:t>
      </w:r>
    </w:p>
    <w:p w:rsidR="00202EFC" w:rsidRDefault="00202EFC" w:rsidP="00202EFC">
      <w:r w:rsidRPr="00202EFC">
        <w:t>Figure 2.</w:t>
      </w:r>
      <w:r>
        <w:t>3: Bio</w:t>
      </w:r>
      <w:r w:rsidRPr="00202EFC">
        <w:t>filtration</w:t>
      </w:r>
      <w:r>
        <w:t xml:space="preserve"> with elevated underdrain</w:t>
      </w:r>
    </w:p>
    <w:p w:rsidR="00202EFC" w:rsidRDefault="00202EFC" w:rsidP="00202EFC">
      <w:r w:rsidRPr="00202EFC">
        <w:t>Figure 2.</w:t>
      </w:r>
      <w:r>
        <w:t>4: Bio</w:t>
      </w:r>
      <w:r w:rsidRPr="00202EFC">
        <w:t>filtration</w:t>
      </w:r>
      <w:r>
        <w:t xml:space="preserve"> with internal water storage</w:t>
      </w:r>
    </w:p>
    <w:p w:rsidR="00202EFC" w:rsidRDefault="00202EFC" w:rsidP="00202EFC">
      <w:r w:rsidRPr="00202EFC">
        <w:t>Figure 2.</w:t>
      </w:r>
      <w:r>
        <w:t>5: Bio</w:t>
      </w:r>
      <w:r w:rsidRPr="00202EFC">
        <w:t>filtration</w:t>
      </w:r>
      <w:r>
        <w:t xml:space="preserve"> with liner</w:t>
      </w:r>
    </w:p>
    <w:p w:rsidR="00202EFC" w:rsidRDefault="00202EFC" w:rsidP="00170F9E">
      <w:pPr>
        <w:rPr>
          <w:rFonts w:eastAsia="Times New Roman" w:cs="Calibri"/>
          <w:b/>
          <w:sz w:val="28"/>
          <w:szCs w:val="28"/>
        </w:rPr>
      </w:pPr>
    </w:p>
    <w:p w:rsidR="00C4532A" w:rsidRDefault="00C4532A" w:rsidP="00C4532A">
      <w:pPr>
        <w:rPr>
          <w:rFonts w:eastAsia="Times New Roman" w:cs="Calibri"/>
          <w:b/>
          <w:sz w:val="28"/>
          <w:szCs w:val="28"/>
        </w:rPr>
      </w:pPr>
      <w:r>
        <w:rPr>
          <w:rFonts w:eastAsia="Times New Roman" w:cs="Calibri"/>
          <w:b/>
          <w:sz w:val="28"/>
          <w:szCs w:val="28"/>
        </w:rPr>
        <w:t>LIST OF TABLES</w:t>
      </w:r>
    </w:p>
    <w:p w:rsidR="00C4532A" w:rsidRDefault="00C4532A" w:rsidP="00C4532A">
      <w:r>
        <w:t>Table 1</w:t>
      </w:r>
      <w:r w:rsidRPr="00202EFC">
        <w:t xml:space="preserve">: </w:t>
      </w:r>
      <w:r>
        <w:t>Differences between infiltration basins and bioretention basins</w:t>
      </w:r>
    </w:p>
    <w:p w:rsidR="00C4532A" w:rsidRPr="00202EFC" w:rsidRDefault="00C4532A" w:rsidP="00C4532A">
      <w:r>
        <w:t>Table 2: Types of bioretention basins</w:t>
      </w:r>
    </w:p>
    <w:p w:rsidR="00C4532A" w:rsidRDefault="00C4532A" w:rsidP="00170F9E">
      <w:pPr>
        <w:rPr>
          <w:rFonts w:eastAsia="Times New Roman" w:cs="Calibri"/>
          <w:b/>
          <w:sz w:val="28"/>
          <w:szCs w:val="28"/>
        </w:rPr>
      </w:pPr>
    </w:p>
    <w:p w:rsidR="00C4532A" w:rsidRDefault="00C4532A" w:rsidP="00170F9E">
      <w:pPr>
        <w:rPr>
          <w:rFonts w:eastAsia="Times New Roman" w:cs="Calibri"/>
          <w:b/>
          <w:sz w:val="28"/>
          <w:szCs w:val="28"/>
        </w:rPr>
      </w:pPr>
    </w:p>
    <w:p w:rsidR="005F624D" w:rsidRDefault="00C4532A" w:rsidP="00170F9E">
      <w:pPr>
        <w:rPr>
          <w:rFonts w:eastAsia="Times New Roman" w:cs="Calibri"/>
          <w:b/>
          <w:sz w:val="28"/>
          <w:szCs w:val="28"/>
        </w:rPr>
      </w:pPr>
      <w:r>
        <w:rPr>
          <w:rFonts w:eastAsia="Times New Roman" w:cs="Calibri"/>
          <w:b/>
          <w:sz w:val="28"/>
          <w:szCs w:val="28"/>
        </w:rPr>
        <w:br w:type="page"/>
      </w:r>
      <w:r w:rsidR="005F624D">
        <w:rPr>
          <w:rFonts w:eastAsia="Times New Roman" w:cs="Calibri"/>
          <w:b/>
          <w:sz w:val="28"/>
          <w:szCs w:val="28"/>
        </w:rPr>
        <w:lastRenderedPageBreak/>
        <w:t xml:space="preserve">DEFINITIONS </w:t>
      </w:r>
      <w:r w:rsidR="00791FEF">
        <w:rPr>
          <w:rFonts w:eastAsia="Times New Roman" w:cs="Calibri"/>
          <w:b/>
          <w:sz w:val="28"/>
          <w:szCs w:val="28"/>
        </w:rPr>
        <w:t>REPORT</w:t>
      </w:r>
    </w:p>
    <w:p w:rsidR="00EB507F" w:rsidRDefault="00EB507F" w:rsidP="00170F9E">
      <w:pPr>
        <w:rPr>
          <w:rFonts w:eastAsia="Times New Roman" w:cs="Calibri"/>
          <w:b/>
          <w:sz w:val="28"/>
          <w:szCs w:val="28"/>
        </w:rPr>
      </w:pPr>
    </w:p>
    <w:p w:rsidR="000567DC" w:rsidRDefault="000567DC" w:rsidP="000567DC">
      <w:r w:rsidRPr="00233723">
        <w:rPr>
          <w:b/>
        </w:rPr>
        <w:t>Infiltration basins</w:t>
      </w:r>
      <w:r w:rsidRPr="00227E51">
        <w:t xml:space="preserve"> and </w:t>
      </w:r>
      <w:r w:rsidRPr="00233723">
        <w:rPr>
          <w:b/>
        </w:rPr>
        <w:t>bioretention basins</w:t>
      </w:r>
      <w:r w:rsidRPr="00227E51">
        <w:t xml:space="preserve"> are terrestrial-based (up-land as opposed to wetland</w:t>
      </w:r>
      <w:r>
        <w:t>-based</w:t>
      </w:r>
      <w:r w:rsidRPr="00227E51">
        <w:t xml:space="preserve">), water quality and </w:t>
      </w:r>
      <w:r w:rsidRPr="00445413">
        <w:t>water quantity control treatment practices with a required drawdown time of 48 hours or less.  For basins within trout stream</w:t>
      </w:r>
      <w:r w:rsidRPr="00E24FF6">
        <w:t xml:space="preserve"> watersheds, the drawdown time is 24 hours or less</w:t>
      </w:r>
      <w:r>
        <w:t xml:space="preserve"> due to the need to reduce discharge temperatures</w:t>
      </w:r>
      <w:r w:rsidRPr="00E24FF6">
        <w:t xml:space="preserve">.  </w:t>
      </w:r>
      <w:r>
        <w:t xml:space="preserve"> </w:t>
      </w:r>
    </w:p>
    <w:p w:rsidR="005F624D" w:rsidRDefault="005F624D" w:rsidP="005F624D"/>
    <w:p w:rsidR="005F624D" w:rsidRDefault="005F624D" w:rsidP="005F624D">
      <w:r w:rsidRPr="00227E51">
        <w:t xml:space="preserve">Table 1 shows how to differentiate between </w:t>
      </w:r>
      <w:r w:rsidRPr="00233723">
        <w:rPr>
          <w:b/>
        </w:rPr>
        <w:t>infiltration basins</w:t>
      </w:r>
      <w:r w:rsidRPr="00227E51">
        <w:t xml:space="preserve"> and </w:t>
      </w:r>
      <w:r w:rsidRPr="00233723">
        <w:rPr>
          <w:b/>
        </w:rPr>
        <w:t>bioretention basins</w:t>
      </w:r>
      <w:r w:rsidRPr="00227E51">
        <w:t xml:space="preserve">. </w:t>
      </w:r>
    </w:p>
    <w:p w:rsidR="0016011A" w:rsidRDefault="0016011A" w:rsidP="005F624D"/>
    <w:p w:rsidR="0016011A" w:rsidRDefault="0016011A" w:rsidP="0016011A">
      <w:r w:rsidRPr="00227E51">
        <w:t xml:space="preserve">Table 2 shows how to further differentiate </w:t>
      </w:r>
      <w:r w:rsidRPr="00233723">
        <w:rPr>
          <w:b/>
        </w:rPr>
        <w:t>bioretention basins</w:t>
      </w:r>
      <w:r w:rsidRPr="00227E51">
        <w:t xml:space="preserve"> into:</w:t>
      </w:r>
    </w:p>
    <w:p w:rsidR="002703DB" w:rsidRDefault="002703DB" w:rsidP="0016011A"/>
    <w:p w:rsidR="002703DB" w:rsidRDefault="002703DB" w:rsidP="002703DB">
      <w:pPr>
        <w:numPr>
          <w:ilvl w:val="0"/>
          <w:numId w:val="29"/>
        </w:numPr>
      </w:pPr>
      <w:r>
        <w:t>Bioinfiltration basin</w:t>
      </w:r>
      <w:r w:rsidR="004A4022">
        <w:t xml:space="preserve"> (See Figure 2.1)</w:t>
      </w:r>
    </w:p>
    <w:p w:rsidR="002703DB" w:rsidRDefault="002703DB" w:rsidP="002703DB">
      <w:pPr>
        <w:numPr>
          <w:ilvl w:val="0"/>
          <w:numId w:val="29"/>
        </w:numPr>
      </w:pPr>
      <w:r>
        <w:t>Biofiltration basin with underdrain at bottom</w:t>
      </w:r>
      <w:r w:rsidR="004A4022">
        <w:t xml:space="preserve"> (See Figure 2.2)</w:t>
      </w:r>
    </w:p>
    <w:p w:rsidR="002703DB" w:rsidRDefault="00D87F8F" w:rsidP="002703DB">
      <w:pPr>
        <w:numPr>
          <w:ilvl w:val="0"/>
          <w:numId w:val="29"/>
        </w:numPr>
      </w:pPr>
      <w:r>
        <w:t>Bio</w:t>
      </w:r>
      <w:r w:rsidR="002703DB">
        <w:t xml:space="preserve">filtration basin with elevated underdrain </w:t>
      </w:r>
      <w:r w:rsidR="004A4022">
        <w:t>(See Figure 2.3)</w:t>
      </w:r>
    </w:p>
    <w:p w:rsidR="002703DB" w:rsidRDefault="00D87F8F" w:rsidP="002703DB">
      <w:pPr>
        <w:numPr>
          <w:ilvl w:val="0"/>
          <w:numId w:val="29"/>
        </w:numPr>
      </w:pPr>
      <w:r>
        <w:t>Bio</w:t>
      </w:r>
      <w:r w:rsidR="002703DB">
        <w:t xml:space="preserve">filtration basin with internal water storage layer (IWS) </w:t>
      </w:r>
      <w:r w:rsidR="004A4022">
        <w:t>(See Figure 2.4)</w:t>
      </w:r>
    </w:p>
    <w:p w:rsidR="002703DB" w:rsidRPr="00B35263" w:rsidRDefault="002703DB" w:rsidP="002703DB">
      <w:pPr>
        <w:numPr>
          <w:ilvl w:val="0"/>
          <w:numId w:val="29"/>
        </w:numPr>
        <w:rPr>
          <w:rFonts w:eastAsia="Times New Roman" w:cs="Calibri"/>
          <w:b/>
          <w:sz w:val="28"/>
          <w:szCs w:val="28"/>
        </w:rPr>
      </w:pPr>
      <w:r>
        <w:t>Biofiltration basin with liner</w:t>
      </w:r>
      <w:r w:rsidR="004A4022">
        <w:t xml:space="preserve"> (See Figure 2.5)</w:t>
      </w:r>
    </w:p>
    <w:p w:rsidR="002703DB" w:rsidRPr="00227E51" w:rsidRDefault="00202EFC" w:rsidP="0016011A">
      <w:r>
        <w:rPr>
          <w:noProof/>
        </w:rPr>
        <w:pict>
          <v:shapetype id="_x0000_t202" coordsize="21600,21600" o:spt="202" path="m,l,21600r21600,l21600,xe">
            <v:stroke joinstyle="miter"/>
            <v:path gradientshapeok="t" o:connecttype="rect"/>
          </v:shapetype>
          <v:shape id="_x0000_s1050" type="#_x0000_t202" style="position:absolute;margin-left:398.8pt;margin-top:9.65pt;width:108.95pt;height:31.5pt;z-index:251665920">
            <v:textbox style="mso-next-textbox:#_x0000_s1050">
              <w:txbxContent>
                <w:p w:rsidR="00202EFC" w:rsidRPr="00165005" w:rsidRDefault="00202EFC" w:rsidP="00202EFC">
                  <w:r w:rsidRPr="00165005">
                    <w:t>Bio</w:t>
                  </w:r>
                  <w:r>
                    <w:t>infiltration</w:t>
                  </w:r>
                  <w:r w:rsidRPr="00165005">
                    <w:t xml:space="preserve"> basin </w:t>
                  </w:r>
                </w:p>
              </w:txbxContent>
            </v:textbox>
          </v:shape>
        </w:pict>
      </w:r>
    </w:p>
    <w:p w:rsidR="00445413" w:rsidRDefault="0016011A" w:rsidP="005F624D">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9" type="#_x0000_t13" style="position:absolute;margin-left:318.15pt;margin-top:55.8pt;width:109.8pt;height:10.25pt;rotation:-4081623fd;z-index:251664896" fillcolor="#92d050" strokecolor="#92d050"/>
        </w:pict>
      </w:r>
    </w:p>
    <w:p w:rsidR="00445413" w:rsidRDefault="00445413" w:rsidP="00445413">
      <w:pPr>
        <w:ind w:left="720"/>
      </w:pPr>
    </w:p>
    <w:p w:rsidR="005F624D" w:rsidRDefault="00165005" w:rsidP="005F624D">
      <w:r>
        <w:rPr>
          <w:noProof/>
        </w:rPr>
        <w:pict>
          <v:shape id="_x0000_s1026" type="#_x0000_t202" style="position:absolute;margin-left:398.8pt;margin-top:8.95pt;width:108.95pt;height:46.3pt;z-index:251649536">
            <v:textbox>
              <w:txbxContent>
                <w:p w:rsidR="00C02C78" w:rsidRPr="00165005" w:rsidRDefault="00C02C78" w:rsidP="00165005">
                  <w:r w:rsidRPr="00165005">
                    <w:t>Bio</w:t>
                  </w:r>
                  <w:r>
                    <w:t>filtration</w:t>
                  </w:r>
                  <w:r w:rsidRPr="00165005">
                    <w:t xml:space="preserve"> basin with underdrain at bottom </w:t>
                  </w:r>
                </w:p>
                <w:p w:rsidR="00C02C78" w:rsidRPr="00165005" w:rsidRDefault="00C02C78" w:rsidP="00165005"/>
              </w:txbxContent>
            </v:textbox>
          </v:shape>
        </w:pict>
      </w:r>
    </w:p>
    <w:p w:rsidR="005F624D" w:rsidRDefault="00CE16BB" w:rsidP="005F624D">
      <w:r>
        <w:rPr>
          <w:noProof/>
        </w:rPr>
        <w:pict>
          <v:shape id="_x0000_s1032" type="#_x0000_t202" style="position:absolute;margin-left:190.5pt;margin-top:8.95pt;width:108pt;height:32.9pt;z-index:251651584">
            <v:textbox style="mso-next-textbox:#_x0000_s1032">
              <w:txbxContent>
                <w:p w:rsidR="00C02C78" w:rsidRDefault="00C02C78" w:rsidP="005F624D">
                  <w:pPr>
                    <w:jc w:val="center"/>
                  </w:pPr>
                  <w:proofErr w:type="gramStart"/>
                  <w:r>
                    <w:t>Infiltration  Basin</w:t>
                  </w:r>
                  <w:proofErr w:type="gramEnd"/>
                </w:p>
              </w:txbxContent>
            </v:textbox>
          </v:shape>
        </w:pict>
      </w:r>
      <w:r w:rsidR="00904C6F">
        <w:rPr>
          <w:noProof/>
        </w:rPr>
        <w:pict>
          <v:shape id="_x0000_s1038" type="#_x0000_t13" style="position:absolute;margin-left:336.65pt;margin-top:34.55pt;width:70.25pt;height:11.8pt;rotation:20296206fd;z-index:251659776" fillcolor="#92d050" strokecolor="#92d050"/>
        </w:pict>
      </w:r>
    </w:p>
    <w:p w:rsidR="005F624D" w:rsidRDefault="00CE16BB" w:rsidP="005F624D">
      <w:r>
        <w:rPr>
          <w:noProof/>
        </w:rPr>
        <w:pict>
          <v:shape id="_x0000_s1034" type="#_x0000_t202" style="position:absolute;margin-left:-11.45pt;margin-top:11.15pt;width:101.45pt;height:61pt;z-index:251653632">
            <v:textbox style="mso-next-textbox:#_x0000_s1034">
              <w:txbxContent>
                <w:p w:rsidR="00C02C78" w:rsidRDefault="00C02C78" w:rsidP="005F624D">
                  <w:pPr>
                    <w:jc w:val="center"/>
                  </w:pPr>
                  <w:r>
                    <w:t>Infiltration Basin</w:t>
                  </w:r>
                </w:p>
                <w:p w:rsidR="00C02C78" w:rsidRDefault="00C02C78" w:rsidP="005F624D">
                  <w:pPr>
                    <w:jc w:val="center"/>
                  </w:pPr>
                </w:p>
                <w:p w:rsidR="00C02C78" w:rsidRDefault="00C02C78" w:rsidP="005F624D">
                  <w:pPr>
                    <w:jc w:val="center"/>
                  </w:pPr>
                  <w:r>
                    <w:t>Bioretention Basin</w:t>
                  </w:r>
                </w:p>
              </w:txbxContent>
            </v:textbox>
          </v:shape>
        </w:pict>
      </w:r>
      <w:r w:rsidR="00165005">
        <w:rPr>
          <w:noProof/>
        </w:rPr>
        <w:pict>
          <v:shape id="_x0000_s1035" type="#_x0000_t202" style="position:absolute;margin-left:94.5pt;margin-top:11.5pt;width:52.7pt;height:25.5pt;z-index:251654656" filled="f" stroked="f">
            <v:textbox style="mso-next-textbox:#_x0000_s1035">
              <w:txbxContent>
                <w:p w:rsidR="00C02C78" w:rsidRPr="00415EBC" w:rsidRDefault="00C02C78" w:rsidP="005F624D">
                  <w:pPr>
                    <w:rPr>
                      <w:b/>
                      <w:color w:val="00B0F0"/>
                    </w:rPr>
                  </w:pPr>
                  <w:r w:rsidRPr="00415EBC">
                    <w:rPr>
                      <w:b/>
                      <w:color w:val="00B0F0"/>
                    </w:rPr>
                    <w:t>Table 1</w:t>
                  </w:r>
                </w:p>
              </w:txbxContent>
            </v:textbox>
          </v:shape>
        </w:pict>
      </w:r>
    </w:p>
    <w:p w:rsidR="005F624D" w:rsidRDefault="00165005" w:rsidP="005F624D">
      <w:r>
        <w:rPr>
          <w:noProof/>
        </w:rPr>
        <w:pict>
          <v:group id="_x0000_s1028" style="position:absolute;margin-left:94.5pt;margin-top:1pt;width:100.1pt;height:39.6pt;z-index:251650560" coordorigin="3255,450" coordsize="2850,1125">
            <v:shape id="_x0000_s1029" type="#_x0000_t13" style="position:absolute;left:4425;top:1275;width:1680;height:300;rotation:30" fillcolor="#92d050" strokecolor="#92d050"/>
            <v:shape id="_x0000_s1030" type="#_x0000_t13" style="position:absolute;left:4410;top:450;width:1680;height:300;rotation:330" fillcolor="#92d050" strokecolor="#92d050"/>
            <v:shapetype id="_x0000_t32" coordsize="21600,21600" o:spt="32" o:oned="t" path="m,l21600,21600e" filled="f">
              <v:path arrowok="t" fillok="f" o:connecttype="none"/>
              <o:lock v:ext="edit" shapetype="t"/>
            </v:shapetype>
            <v:shape id="_x0000_s1031" type="#_x0000_t32" style="position:absolute;left:3255;top:1005;width:1320;height:0" o:connectortype="straight" strokecolor="#92d050" strokeweight="8.25pt"/>
          </v:group>
        </w:pict>
      </w:r>
      <w:r w:rsidR="005F624D">
        <w:tab/>
      </w:r>
      <w:r w:rsidR="005F624D">
        <w:tab/>
      </w:r>
      <w:r w:rsidR="005F624D">
        <w:tab/>
      </w:r>
    </w:p>
    <w:p w:rsidR="005F624D" w:rsidRDefault="00165005" w:rsidP="005F624D">
      <w:r>
        <w:rPr>
          <w:noProof/>
        </w:rPr>
        <w:pict>
          <v:shape id="_x0000_s1044" type="#_x0000_t202" style="position:absolute;margin-left:398.8pt;margin-top:7.2pt;width:108.95pt;height:46.3pt;z-index:251657728">
            <v:textbox>
              <w:txbxContent>
                <w:p w:rsidR="00C02C78" w:rsidRPr="00165005" w:rsidRDefault="00C02C78" w:rsidP="00165005">
                  <w:r>
                    <w:t>Biofiltration</w:t>
                  </w:r>
                  <w:r w:rsidRPr="00165005">
                    <w:t xml:space="preserve"> basin with </w:t>
                  </w:r>
                  <w:r>
                    <w:t>elevated underdrain</w:t>
                  </w:r>
                </w:p>
                <w:p w:rsidR="00C02C78" w:rsidRPr="00165005" w:rsidRDefault="00C02C78" w:rsidP="00165005"/>
              </w:txbxContent>
            </v:textbox>
          </v:shape>
        </w:pict>
      </w:r>
      <w:r>
        <w:rPr>
          <w:noProof/>
        </w:rPr>
        <w:pict>
          <v:shape id="_x0000_s1043" type="#_x0000_t202" style="position:absolute;margin-left:298.5pt;margin-top:7.2pt;width:52.7pt;height:25.5pt;z-index:251656704" filled="f" stroked="f">
            <v:textbox style="mso-next-textbox:#_x0000_s1043">
              <w:txbxContent>
                <w:p w:rsidR="00C02C78" w:rsidRPr="00415EBC" w:rsidRDefault="00C02C78" w:rsidP="005F624D">
                  <w:pPr>
                    <w:rPr>
                      <w:b/>
                      <w:color w:val="00B0F0"/>
                    </w:rPr>
                  </w:pPr>
                  <w:r w:rsidRPr="00415EBC">
                    <w:rPr>
                      <w:b/>
                      <w:color w:val="00B0F0"/>
                    </w:rPr>
                    <w:t xml:space="preserve">Table </w:t>
                  </w:r>
                  <w:r>
                    <w:rPr>
                      <w:b/>
                      <w:color w:val="00B0F0"/>
                    </w:rPr>
                    <w:t>2</w:t>
                  </w:r>
                </w:p>
              </w:txbxContent>
            </v:textbox>
          </v:shape>
        </w:pict>
      </w:r>
    </w:p>
    <w:p w:rsidR="005F624D" w:rsidRDefault="00CE16BB" w:rsidP="005F624D">
      <w:r>
        <w:rPr>
          <w:noProof/>
        </w:rPr>
        <w:pict>
          <v:shape id="_x0000_s1033" type="#_x0000_t202" style="position:absolute;margin-left:189.55pt;margin-top:9.6pt;width:108.95pt;height:22.25pt;z-index:251652608">
            <v:textbox style="mso-next-textbox:#_x0000_s1033">
              <w:txbxContent>
                <w:p w:rsidR="00C02C78" w:rsidRDefault="00C02C78" w:rsidP="005F624D">
                  <w:pPr>
                    <w:jc w:val="center"/>
                  </w:pPr>
                  <w:r>
                    <w:t>Bioretention Basin</w:t>
                  </w:r>
                </w:p>
              </w:txbxContent>
            </v:textbox>
          </v:shape>
        </w:pict>
      </w:r>
      <w:r w:rsidR="00E77226">
        <w:rPr>
          <w:noProof/>
        </w:rPr>
        <w:pict>
          <v:shape id="_x0000_s1046" type="#_x0000_t13" style="position:absolute;margin-left:315.4pt;margin-top:62.5pt;width:114.95pt;height:10.55pt;rotation:4043267fd;z-index:251662848" fillcolor="#92d050" strokecolor="#92d050"/>
        </w:pict>
      </w:r>
      <w:r w:rsidR="00E77226">
        <w:rPr>
          <w:noProof/>
        </w:rPr>
        <w:pict>
          <v:shape id="_x0000_s1047" type="#_x0000_t13" style="position:absolute;margin-left:336.55pt;margin-top:37.85pt;width:70.1pt;height:12.45pt;rotation:3453933fd;z-index:251663872" fillcolor="#92d050" strokecolor="#92d050"/>
        </w:pict>
      </w:r>
      <w:r w:rsidR="00904C6F">
        <w:rPr>
          <w:noProof/>
        </w:rPr>
        <w:pict>
          <v:shape id="_x0000_s1040" type="#_x0000_t13" style="position:absolute;margin-left:333.8pt;margin-top:10.2pt;width:59pt;height:10.55pt;z-index:251661824" fillcolor="#92d050" strokecolor="#92d050"/>
        </w:pict>
      </w:r>
    </w:p>
    <w:p w:rsidR="00161CBF" w:rsidRDefault="00165005" w:rsidP="005F624D">
      <w:r>
        <w:rPr>
          <w:noProof/>
        </w:rPr>
        <w:pict>
          <v:shape id="_x0000_s1039" type="#_x0000_t32" style="position:absolute;margin-left:298.5pt;margin-top:2.85pt;width:46.35pt;height:0;z-index:251660800" o:connectortype="straight" strokecolor="#92d050" strokeweight="8.25pt"/>
        </w:pict>
      </w:r>
    </w:p>
    <w:p w:rsidR="00161CBF" w:rsidRDefault="00161CBF" w:rsidP="005F624D"/>
    <w:p w:rsidR="00161CBF" w:rsidRDefault="00165005" w:rsidP="005F624D">
      <w:r>
        <w:rPr>
          <w:noProof/>
        </w:rPr>
        <w:pict>
          <v:shape id="_x0000_s1042" type="#_x0000_t202" style="position:absolute;margin-left:398.8pt;margin-top:4.95pt;width:108.95pt;height:50.15pt;z-index:251655680">
            <v:textbox style="mso-next-textbox:#_x0000_s1042">
              <w:txbxContent>
                <w:p w:rsidR="00C02C78" w:rsidRPr="00165005" w:rsidRDefault="00C02C78" w:rsidP="00165005">
                  <w:r w:rsidRPr="00165005">
                    <w:t>Bio</w:t>
                  </w:r>
                  <w:r>
                    <w:t>filtration</w:t>
                  </w:r>
                  <w:r w:rsidRPr="00165005">
                    <w:t xml:space="preserve"> basin with </w:t>
                  </w:r>
                  <w:r>
                    <w:t>internal water storage</w:t>
                  </w:r>
                </w:p>
                <w:p w:rsidR="00C02C78" w:rsidRPr="00165005" w:rsidRDefault="00C02C78" w:rsidP="00165005"/>
              </w:txbxContent>
            </v:textbox>
          </v:shape>
        </w:pict>
      </w:r>
    </w:p>
    <w:p w:rsidR="00161CBF" w:rsidRDefault="00161CBF" w:rsidP="005F624D"/>
    <w:p w:rsidR="00161CBF" w:rsidRDefault="00161CBF" w:rsidP="005F624D"/>
    <w:p w:rsidR="00161CBF" w:rsidRDefault="00161CBF" w:rsidP="005F624D"/>
    <w:p w:rsidR="00090902" w:rsidRDefault="00A35B43" w:rsidP="005F624D">
      <w:r>
        <w:rPr>
          <w:noProof/>
        </w:rPr>
        <w:pict>
          <v:shape id="_x0000_s1045" type="#_x0000_t202" style="position:absolute;margin-left:398.8pt;margin-top:8.45pt;width:108.95pt;height:33pt;z-index:251658752">
            <v:textbox>
              <w:txbxContent>
                <w:p w:rsidR="00C02C78" w:rsidRDefault="00C02C78" w:rsidP="00165005">
                  <w:r>
                    <w:t>Biofiltration basin with liner</w:t>
                  </w:r>
                </w:p>
              </w:txbxContent>
            </v:textbox>
          </v:shape>
        </w:pict>
      </w:r>
    </w:p>
    <w:p w:rsidR="00165005" w:rsidRDefault="00165005" w:rsidP="00090902">
      <w:pPr>
        <w:rPr>
          <w:b/>
        </w:rPr>
      </w:pPr>
    </w:p>
    <w:p w:rsidR="00165005" w:rsidRDefault="00165005" w:rsidP="00090902">
      <w:pPr>
        <w:rPr>
          <w:b/>
        </w:rPr>
      </w:pPr>
    </w:p>
    <w:p w:rsidR="00165005" w:rsidRDefault="00165005" w:rsidP="00090902">
      <w:pPr>
        <w:rPr>
          <w:b/>
        </w:rPr>
      </w:pPr>
    </w:p>
    <w:p w:rsidR="00C646F7" w:rsidRDefault="00C646F7" w:rsidP="005F624D"/>
    <w:p w:rsidR="00202EFC" w:rsidRDefault="00202EFC" w:rsidP="005F624D"/>
    <w:p w:rsidR="00202EFC" w:rsidRDefault="00202EFC" w:rsidP="00202EFC">
      <w:r>
        <w:t>Table 1: Differences between infiltration basins and bioretention basins</w:t>
      </w:r>
    </w:p>
    <w:tbl>
      <w:tblPr>
        <w:tblW w:w="12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800"/>
        <w:gridCol w:w="1530"/>
        <w:gridCol w:w="1980"/>
        <w:gridCol w:w="1620"/>
        <w:gridCol w:w="2250"/>
        <w:gridCol w:w="1800"/>
      </w:tblGrid>
      <w:tr w:rsidR="00202EFC" w:rsidRPr="00E55BEF" w:rsidTr="00E849D2">
        <w:tc>
          <w:tcPr>
            <w:tcW w:w="1368" w:type="dxa"/>
          </w:tcPr>
          <w:p w:rsidR="00202EFC" w:rsidRPr="00E55BEF" w:rsidRDefault="00202EFC" w:rsidP="00E849D2">
            <w:pPr>
              <w:rPr>
                <w:b/>
              </w:rPr>
            </w:pPr>
            <w:r w:rsidRPr="00E55BEF">
              <w:rPr>
                <w:b/>
              </w:rPr>
              <w:t>BMP</w:t>
            </w:r>
          </w:p>
        </w:tc>
        <w:tc>
          <w:tcPr>
            <w:tcW w:w="1800" w:type="dxa"/>
          </w:tcPr>
          <w:p w:rsidR="00202EFC" w:rsidRPr="00E55BEF" w:rsidRDefault="00202EFC" w:rsidP="00E849D2">
            <w:pPr>
              <w:rPr>
                <w:b/>
              </w:rPr>
            </w:pPr>
            <w:r w:rsidRPr="00E55BEF">
              <w:rPr>
                <w:b/>
              </w:rPr>
              <w:t xml:space="preserve">Typical Position </w:t>
            </w:r>
            <w:r>
              <w:rPr>
                <w:b/>
              </w:rPr>
              <w:t>i</w:t>
            </w:r>
            <w:r w:rsidRPr="00E55BEF">
              <w:rPr>
                <w:b/>
              </w:rPr>
              <w:t>n Watershed</w:t>
            </w:r>
          </w:p>
        </w:tc>
        <w:tc>
          <w:tcPr>
            <w:tcW w:w="1530" w:type="dxa"/>
          </w:tcPr>
          <w:p w:rsidR="00202EFC" w:rsidRPr="00E55BEF" w:rsidRDefault="00202EFC" w:rsidP="00E849D2">
            <w:pPr>
              <w:rPr>
                <w:b/>
              </w:rPr>
            </w:pPr>
            <w:r>
              <w:rPr>
                <w:b/>
              </w:rPr>
              <w:t>Treatment Scale</w:t>
            </w:r>
          </w:p>
        </w:tc>
        <w:tc>
          <w:tcPr>
            <w:tcW w:w="1980" w:type="dxa"/>
          </w:tcPr>
          <w:p w:rsidR="00202EFC" w:rsidRPr="00E55BEF" w:rsidRDefault="00202EFC" w:rsidP="00E849D2">
            <w:pPr>
              <w:rPr>
                <w:b/>
              </w:rPr>
            </w:pPr>
            <w:r>
              <w:rPr>
                <w:b/>
              </w:rPr>
              <w:t xml:space="preserve">Typical Storm Sizes </w:t>
            </w:r>
          </w:p>
        </w:tc>
        <w:tc>
          <w:tcPr>
            <w:tcW w:w="1620" w:type="dxa"/>
          </w:tcPr>
          <w:p w:rsidR="00202EFC" w:rsidRPr="00E55BEF" w:rsidRDefault="00202EFC" w:rsidP="00E849D2">
            <w:pPr>
              <w:rPr>
                <w:b/>
              </w:rPr>
            </w:pPr>
            <w:r w:rsidRPr="00E55BEF">
              <w:rPr>
                <w:b/>
              </w:rPr>
              <w:t>Maximum Drainage Area Guidelines*</w:t>
            </w:r>
          </w:p>
        </w:tc>
        <w:tc>
          <w:tcPr>
            <w:tcW w:w="2250" w:type="dxa"/>
          </w:tcPr>
          <w:p w:rsidR="00202EFC" w:rsidRPr="00E55BEF" w:rsidRDefault="00202EFC" w:rsidP="00E849D2">
            <w:pPr>
              <w:rPr>
                <w:b/>
              </w:rPr>
            </w:pPr>
            <w:r w:rsidRPr="00E55BEF">
              <w:rPr>
                <w:b/>
              </w:rPr>
              <w:t xml:space="preserve">Maximum </w:t>
            </w:r>
            <w:r>
              <w:rPr>
                <w:b/>
              </w:rPr>
              <w:t xml:space="preserve">Ponding </w:t>
            </w:r>
            <w:r w:rsidRPr="00E55BEF">
              <w:rPr>
                <w:b/>
              </w:rPr>
              <w:t>Depth Guidelines*</w:t>
            </w:r>
          </w:p>
        </w:tc>
        <w:tc>
          <w:tcPr>
            <w:tcW w:w="1800" w:type="dxa"/>
          </w:tcPr>
          <w:p w:rsidR="00202EFC" w:rsidRPr="00E55BEF" w:rsidRDefault="00202EFC" w:rsidP="00E849D2">
            <w:pPr>
              <w:rPr>
                <w:b/>
              </w:rPr>
            </w:pPr>
            <w:r w:rsidRPr="00E55BEF">
              <w:rPr>
                <w:b/>
              </w:rPr>
              <w:t>Growing Medium</w:t>
            </w:r>
            <w:r>
              <w:rPr>
                <w:b/>
              </w:rPr>
              <w:t>*</w:t>
            </w:r>
          </w:p>
        </w:tc>
      </w:tr>
      <w:tr w:rsidR="00202EFC" w:rsidTr="00E849D2">
        <w:tc>
          <w:tcPr>
            <w:tcW w:w="1368" w:type="dxa"/>
          </w:tcPr>
          <w:p w:rsidR="00202EFC" w:rsidRDefault="00202EFC" w:rsidP="00E849D2">
            <w:r>
              <w:t>Infiltration  Basin</w:t>
            </w:r>
          </w:p>
          <w:p w:rsidR="00202EFC" w:rsidRDefault="00202EFC" w:rsidP="00E849D2"/>
        </w:tc>
        <w:tc>
          <w:tcPr>
            <w:tcW w:w="1800" w:type="dxa"/>
          </w:tcPr>
          <w:p w:rsidR="00202EFC" w:rsidRDefault="00202EFC" w:rsidP="00E849D2">
            <w:r>
              <w:t>Typically downgradient of other water quantity and water quality control practices</w:t>
            </w:r>
          </w:p>
        </w:tc>
        <w:tc>
          <w:tcPr>
            <w:tcW w:w="1530" w:type="dxa"/>
          </w:tcPr>
          <w:p w:rsidR="00202EFC" w:rsidRDefault="00202EFC" w:rsidP="00E849D2">
            <w:r>
              <w:t>Development or regional scale control</w:t>
            </w:r>
          </w:p>
        </w:tc>
        <w:tc>
          <w:tcPr>
            <w:tcW w:w="1980" w:type="dxa"/>
          </w:tcPr>
          <w:p w:rsidR="00202EFC" w:rsidRDefault="00202EFC" w:rsidP="00E849D2">
            <w:r>
              <w:t>L</w:t>
            </w:r>
            <w:r w:rsidRPr="003468B1">
              <w:t>ess frequent large storm events that exceed the capacity of upgradient practices</w:t>
            </w:r>
          </w:p>
        </w:tc>
        <w:tc>
          <w:tcPr>
            <w:tcW w:w="1620" w:type="dxa"/>
          </w:tcPr>
          <w:p w:rsidR="00202EFC" w:rsidRDefault="00202EFC" w:rsidP="00E849D2">
            <w:r>
              <w:t>50 acres</w:t>
            </w:r>
          </w:p>
        </w:tc>
        <w:tc>
          <w:tcPr>
            <w:tcW w:w="2250" w:type="dxa"/>
          </w:tcPr>
          <w:p w:rsidR="00202EFC" w:rsidRDefault="00202EFC" w:rsidP="00E849D2">
            <w:r>
              <w:t>4 feet</w:t>
            </w:r>
          </w:p>
        </w:tc>
        <w:tc>
          <w:tcPr>
            <w:tcW w:w="1800" w:type="dxa"/>
          </w:tcPr>
          <w:p w:rsidR="00202EFC" w:rsidRDefault="00202EFC" w:rsidP="00E849D2">
            <w:r>
              <w:t>Native soil</w:t>
            </w:r>
          </w:p>
        </w:tc>
      </w:tr>
      <w:tr w:rsidR="00202EFC" w:rsidTr="00E849D2">
        <w:tc>
          <w:tcPr>
            <w:tcW w:w="1368" w:type="dxa"/>
            <w:shd w:val="clear" w:color="auto" w:fill="auto"/>
          </w:tcPr>
          <w:p w:rsidR="00202EFC" w:rsidRPr="002E1ACB" w:rsidRDefault="00202EFC" w:rsidP="00E849D2">
            <w:r w:rsidRPr="002E1ACB">
              <w:t>Bioretention Basin</w:t>
            </w:r>
          </w:p>
          <w:p w:rsidR="00202EFC" w:rsidRPr="002E1ACB" w:rsidRDefault="00202EFC" w:rsidP="00E849D2"/>
        </w:tc>
        <w:tc>
          <w:tcPr>
            <w:tcW w:w="1800" w:type="dxa"/>
            <w:shd w:val="clear" w:color="auto" w:fill="auto"/>
          </w:tcPr>
          <w:p w:rsidR="00202EFC" w:rsidRPr="002E1ACB" w:rsidRDefault="00202EFC" w:rsidP="00E849D2">
            <w:r>
              <w:t>Located throughout watershed</w:t>
            </w:r>
          </w:p>
        </w:tc>
        <w:tc>
          <w:tcPr>
            <w:tcW w:w="1530" w:type="dxa"/>
            <w:shd w:val="clear" w:color="auto" w:fill="auto"/>
          </w:tcPr>
          <w:p w:rsidR="00202EFC" w:rsidRPr="002E1ACB" w:rsidRDefault="00202EFC" w:rsidP="00E849D2">
            <w:r w:rsidRPr="002E1ACB">
              <w:t>Site scale control</w:t>
            </w:r>
          </w:p>
        </w:tc>
        <w:tc>
          <w:tcPr>
            <w:tcW w:w="1980" w:type="dxa"/>
            <w:shd w:val="clear" w:color="auto" w:fill="auto"/>
          </w:tcPr>
          <w:p w:rsidR="00202EFC" w:rsidRPr="002E1ACB" w:rsidRDefault="00202EFC" w:rsidP="00E849D2">
            <w:r w:rsidRPr="002E1ACB">
              <w:t>Small storms</w:t>
            </w:r>
            <w:r>
              <w:t>(water quality events)</w:t>
            </w:r>
          </w:p>
        </w:tc>
        <w:tc>
          <w:tcPr>
            <w:tcW w:w="1620" w:type="dxa"/>
            <w:shd w:val="clear" w:color="auto" w:fill="auto"/>
          </w:tcPr>
          <w:p w:rsidR="00202EFC" w:rsidRPr="002E1ACB" w:rsidRDefault="00202EFC" w:rsidP="00E849D2">
            <w:r>
              <w:t xml:space="preserve">Typically </w:t>
            </w:r>
            <w:r w:rsidRPr="002E1ACB">
              <w:t>5 acres</w:t>
            </w:r>
          </w:p>
        </w:tc>
        <w:tc>
          <w:tcPr>
            <w:tcW w:w="2250" w:type="dxa"/>
            <w:shd w:val="clear" w:color="auto" w:fill="auto"/>
          </w:tcPr>
          <w:p w:rsidR="00202EFC" w:rsidRPr="002E1ACB" w:rsidRDefault="00202EFC" w:rsidP="00E849D2">
            <w:r w:rsidRPr="002E1ACB">
              <w:t>Ideally 12”, can be up to 18” with appropriate design and plant selection</w:t>
            </w:r>
          </w:p>
        </w:tc>
        <w:tc>
          <w:tcPr>
            <w:tcW w:w="1800" w:type="dxa"/>
            <w:shd w:val="clear" w:color="auto" w:fill="auto"/>
          </w:tcPr>
          <w:p w:rsidR="00202EFC" w:rsidRDefault="00202EFC" w:rsidP="00E849D2">
            <w:r w:rsidRPr="002E1ACB">
              <w:t>Engineered growing medium</w:t>
            </w:r>
            <w:r w:rsidRPr="003B4E80">
              <w:t xml:space="preserve"> </w:t>
            </w:r>
          </w:p>
        </w:tc>
      </w:tr>
    </w:tbl>
    <w:p w:rsidR="00202EFC" w:rsidRDefault="00202EFC" w:rsidP="00202EFC">
      <w:r>
        <w:t>* See Task 8 for more detailed guidance regarding maximum drainage area, maximum depth, and growing medium (hyperlink).</w:t>
      </w:r>
    </w:p>
    <w:p w:rsidR="00202EFC" w:rsidRDefault="00202EFC" w:rsidP="005F624D"/>
    <w:p w:rsidR="00202EFC" w:rsidRDefault="00202EFC" w:rsidP="005F624D"/>
    <w:p w:rsidR="005F624D" w:rsidRDefault="00202EFC" w:rsidP="005F624D">
      <w:r>
        <w:br w:type="page"/>
      </w:r>
      <w:r w:rsidR="005F624D">
        <w:lastRenderedPageBreak/>
        <w:t xml:space="preserve">Table 2: </w:t>
      </w:r>
      <w:r w:rsidR="00091DC1">
        <w:t xml:space="preserve">Types of </w:t>
      </w:r>
      <w:r w:rsidR="00C4532A">
        <w:t>bioretention basins</w:t>
      </w:r>
    </w:p>
    <w:tbl>
      <w:tblPr>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4140"/>
        <w:gridCol w:w="4320"/>
        <w:gridCol w:w="2250"/>
      </w:tblGrid>
      <w:tr w:rsidR="00630C85" w:rsidRPr="00E55BEF" w:rsidTr="0061603D">
        <w:tc>
          <w:tcPr>
            <w:tcW w:w="1908" w:type="dxa"/>
          </w:tcPr>
          <w:p w:rsidR="00C21D7C" w:rsidRPr="00E55BEF" w:rsidRDefault="00C21D7C" w:rsidP="00C646F7">
            <w:pPr>
              <w:tabs>
                <w:tab w:val="left" w:pos="1005"/>
              </w:tabs>
              <w:rPr>
                <w:b/>
              </w:rPr>
            </w:pPr>
            <w:r w:rsidRPr="00E55BEF">
              <w:rPr>
                <w:b/>
              </w:rPr>
              <w:t>BMP</w:t>
            </w:r>
            <w:r w:rsidR="00C646F7">
              <w:rPr>
                <w:b/>
              </w:rPr>
              <w:tab/>
            </w:r>
          </w:p>
        </w:tc>
        <w:tc>
          <w:tcPr>
            <w:tcW w:w="4140" w:type="dxa"/>
          </w:tcPr>
          <w:p w:rsidR="00C21D7C" w:rsidRPr="00E55BEF" w:rsidRDefault="00C21D7C" w:rsidP="00077207">
            <w:pPr>
              <w:rPr>
                <w:b/>
              </w:rPr>
            </w:pPr>
            <w:r>
              <w:rPr>
                <w:b/>
              </w:rPr>
              <w:t>Typical Uses; Advantages (see 2008 manual performance types for more detail)</w:t>
            </w:r>
          </w:p>
        </w:tc>
        <w:tc>
          <w:tcPr>
            <w:tcW w:w="4320" w:type="dxa"/>
          </w:tcPr>
          <w:p w:rsidR="00C21D7C" w:rsidRDefault="00C21D7C" w:rsidP="00A97283">
            <w:pPr>
              <w:rPr>
                <w:b/>
              </w:rPr>
            </w:pPr>
            <w:r>
              <w:rPr>
                <w:b/>
              </w:rPr>
              <w:t xml:space="preserve">Relative amount of runoff abstracted from storm sewer system </w:t>
            </w:r>
          </w:p>
        </w:tc>
        <w:tc>
          <w:tcPr>
            <w:tcW w:w="2250" w:type="dxa"/>
          </w:tcPr>
          <w:p w:rsidR="00C21D7C" w:rsidRDefault="00C21D7C" w:rsidP="00A97283">
            <w:pPr>
              <w:rPr>
                <w:b/>
              </w:rPr>
            </w:pPr>
            <w:r>
              <w:rPr>
                <w:b/>
              </w:rPr>
              <w:t>2008 manual terminology</w:t>
            </w:r>
          </w:p>
        </w:tc>
      </w:tr>
      <w:tr w:rsidR="00630C85" w:rsidTr="0061603D">
        <w:tc>
          <w:tcPr>
            <w:tcW w:w="1908" w:type="dxa"/>
          </w:tcPr>
          <w:p w:rsidR="005368EE" w:rsidRPr="00165005" w:rsidRDefault="005368EE" w:rsidP="005368EE">
            <w:r w:rsidRPr="00165005">
              <w:t>Bio</w:t>
            </w:r>
            <w:r>
              <w:t>infiltration</w:t>
            </w:r>
            <w:r w:rsidRPr="00165005">
              <w:t xml:space="preserve"> basin </w:t>
            </w:r>
          </w:p>
          <w:p w:rsidR="00C21D7C" w:rsidRDefault="00C21D7C" w:rsidP="00A97283"/>
          <w:p w:rsidR="00C21D7C" w:rsidRDefault="00C21D7C" w:rsidP="00A97283"/>
        </w:tc>
        <w:tc>
          <w:tcPr>
            <w:tcW w:w="4140" w:type="dxa"/>
          </w:tcPr>
          <w:p w:rsidR="00C21D7C" w:rsidRDefault="00C21D7C" w:rsidP="00A97283">
            <w:r>
              <w:t>Abstracts all runoff captured in the basin that does not leave through overflow</w:t>
            </w:r>
          </w:p>
        </w:tc>
        <w:tc>
          <w:tcPr>
            <w:tcW w:w="4320" w:type="dxa"/>
          </w:tcPr>
          <w:p w:rsidR="00C21D7C" w:rsidRDefault="00C21D7C" w:rsidP="0061603D">
            <w:r w:rsidRPr="00E24FF6">
              <w:rPr>
                <w:b/>
              </w:rPr>
              <w:t>All</w:t>
            </w:r>
            <w:r>
              <w:t xml:space="preserve"> runoff that flows into the basin and does not overflow into an overflow structure is abstracted from the stormsewer system through infiltration or evapotranspiration</w:t>
            </w:r>
            <w:r w:rsidR="005368EE">
              <w:t>.</w:t>
            </w:r>
          </w:p>
          <w:p w:rsidR="005368EE" w:rsidRDefault="005368EE" w:rsidP="0061603D"/>
        </w:tc>
        <w:tc>
          <w:tcPr>
            <w:tcW w:w="2250" w:type="dxa"/>
          </w:tcPr>
          <w:p w:rsidR="00C21D7C" w:rsidRPr="00C21D7C" w:rsidRDefault="00C21D7C" w:rsidP="00C21D7C">
            <w:r w:rsidRPr="00C21D7C">
              <w:t>Infiltration / recharge facility</w:t>
            </w:r>
          </w:p>
          <w:p w:rsidR="00C21D7C" w:rsidRPr="00E24FF6" w:rsidRDefault="00C21D7C" w:rsidP="00A97283">
            <w:pPr>
              <w:rPr>
                <w:b/>
              </w:rPr>
            </w:pPr>
          </w:p>
        </w:tc>
      </w:tr>
      <w:tr w:rsidR="00630C85" w:rsidTr="0061603D">
        <w:tc>
          <w:tcPr>
            <w:tcW w:w="1908" w:type="dxa"/>
          </w:tcPr>
          <w:p w:rsidR="001272A3" w:rsidRPr="00165005" w:rsidRDefault="001272A3" w:rsidP="00691474">
            <w:r w:rsidRPr="00165005">
              <w:t>Bio</w:t>
            </w:r>
            <w:r w:rsidR="005368EE">
              <w:t>filtration</w:t>
            </w:r>
            <w:r w:rsidRPr="00165005">
              <w:t xml:space="preserve"> basin with underdrain at bottom </w:t>
            </w:r>
          </w:p>
          <w:p w:rsidR="001272A3" w:rsidRDefault="001272A3" w:rsidP="00691474"/>
        </w:tc>
        <w:tc>
          <w:tcPr>
            <w:tcW w:w="4140" w:type="dxa"/>
          </w:tcPr>
          <w:p w:rsidR="001272A3" w:rsidRDefault="001272A3" w:rsidP="005C48E0">
            <w:r>
              <w:t xml:space="preserve">Allows for </w:t>
            </w:r>
            <w:r w:rsidR="005C48E0">
              <w:t xml:space="preserve">a small amount of </w:t>
            </w:r>
            <w:r>
              <w:t>infiltration, at a rate compatible with underlying soils, but carries away excess water</w:t>
            </w:r>
            <w:r w:rsidR="00630C85">
              <w:t>through the underdrain</w:t>
            </w:r>
            <w:r>
              <w:t xml:space="preserve"> after it has been filtered through the basin</w:t>
            </w:r>
          </w:p>
        </w:tc>
        <w:tc>
          <w:tcPr>
            <w:tcW w:w="4320" w:type="dxa"/>
          </w:tcPr>
          <w:p w:rsidR="001272A3" w:rsidRDefault="005C48E0" w:rsidP="00691474">
            <w:r>
              <w:rPr>
                <w:b/>
              </w:rPr>
              <w:t xml:space="preserve">A small amount </w:t>
            </w:r>
            <w:r w:rsidR="001272A3" w:rsidRPr="002A13DA">
              <w:t>of the</w:t>
            </w:r>
            <w:r w:rsidR="001272A3">
              <w:rPr>
                <w:b/>
              </w:rPr>
              <w:t xml:space="preserve"> </w:t>
            </w:r>
            <w:r w:rsidR="001272A3">
              <w:t>runoff that flows into the basin and does not overflow into an overflow structure is abstracted from the stormsewer system through infiltration or evapotranspiration; the remainder is filtered by the growing medium but then leaves via an underdrain</w:t>
            </w:r>
            <w:r w:rsidR="0061603D">
              <w:t>.</w:t>
            </w:r>
          </w:p>
          <w:p w:rsidR="00C646F7" w:rsidRDefault="00C646F7" w:rsidP="00691474">
            <w:pPr>
              <w:rPr>
                <w:b/>
              </w:rPr>
            </w:pPr>
          </w:p>
        </w:tc>
        <w:tc>
          <w:tcPr>
            <w:tcW w:w="2250" w:type="dxa"/>
          </w:tcPr>
          <w:p w:rsidR="001272A3" w:rsidRDefault="00A53BFC" w:rsidP="00691474">
            <w:r>
              <w:t>Filtration/Partial recharge</w:t>
            </w:r>
          </w:p>
        </w:tc>
      </w:tr>
      <w:tr w:rsidR="00630C85" w:rsidTr="0061603D">
        <w:tc>
          <w:tcPr>
            <w:tcW w:w="1908" w:type="dxa"/>
          </w:tcPr>
          <w:p w:rsidR="00C21D7C" w:rsidRDefault="005368EE" w:rsidP="005368EE">
            <w:r>
              <w:t>Biofiltration</w:t>
            </w:r>
            <w:r w:rsidR="00C21D7C" w:rsidRPr="00165005">
              <w:t xml:space="preserve"> basin with internal water storage </w:t>
            </w:r>
            <w:r w:rsidR="00587050">
              <w:t>(IWS)</w:t>
            </w:r>
          </w:p>
        </w:tc>
        <w:tc>
          <w:tcPr>
            <w:tcW w:w="4140" w:type="dxa"/>
          </w:tcPr>
          <w:p w:rsidR="00C21D7C" w:rsidRDefault="00C21D7C" w:rsidP="00C02C78">
            <w:r>
              <w:t xml:space="preserve">Allows for </w:t>
            </w:r>
            <w:r w:rsidR="00C02C78">
              <w:t>more</w:t>
            </w:r>
            <w:r w:rsidR="00466B50">
              <w:t xml:space="preserve"> infiltration, </w:t>
            </w:r>
            <w:r>
              <w:t xml:space="preserve">at a rate compatible with underlying soils, but carries away excess water </w:t>
            </w:r>
            <w:r w:rsidR="00CB4F55">
              <w:t xml:space="preserve">through the underdrain </w:t>
            </w:r>
            <w:r>
              <w:t>after it has been filtered through the basin; Internal Water Storage Zone (IWS)</w:t>
            </w:r>
            <w:r w:rsidR="00466B50">
              <w:t xml:space="preserve"> (1) allows for more infiltration and evaporation compared to bioretention with underdrain at the bottom; (2)</w:t>
            </w:r>
            <w:r>
              <w:t xml:space="preserve"> improves </w:t>
            </w:r>
            <w:r>
              <w:rPr>
                <w:b/>
              </w:rPr>
              <w:t>thermal pollution abatement</w:t>
            </w:r>
            <w:r>
              <w:t xml:space="preserve"> and </w:t>
            </w:r>
            <w:r>
              <w:rPr>
                <w:b/>
              </w:rPr>
              <w:t>nitrogen removal</w:t>
            </w:r>
            <w:r>
              <w:t xml:space="preserve"> (longer retention time allows runoff to cool more before discharge and allows denitrification to occur under anoxic condition)</w:t>
            </w:r>
            <w:r w:rsidR="0061603D">
              <w:t>.</w:t>
            </w:r>
          </w:p>
          <w:p w:rsidR="00202EFC" w:rsidRDefault="00202EFC" w:rsidP="00C02C78"/>
          <w:p w:rsidR="00202EFC" w:rsidRDefault="00202EFC" w:rsidP="00C02C78"/>
          <w:p w:rsidR="00202EFC" w:rsidRDefault="00202EFC" w:rsidP="00C02C78"/>
          <w:p w:rsidR="00202EFC" w:rsidRDefault="00202EFC" w:rsidP="00C02C78"/>
        </w:tc>
        <w:tc>
          <w:tcPr>
            <w:tcW w:w="4320" w:type="dxa"/>
          </w:tcPr>
          <w:p w:rsidR="00C21D7C" w:rsidRDefault="00466B50" w:rsidP="00466B50">
            <w:r>
              <w:rPr>
                <w:b/>
              </w:rPr>
              <w:t>More</w:t>
            </w:r>
            <w:r w:rsidR="00C21D7C">
              <w:rPr>
                <w:b/>
              </w:rPr>
              <w:t xml:space="preserve"> </w:t>
            </w:r>
            <w:r w:rsidR="00C21D7C" w:rsidRPr="002A13DA">
              <w:t>of the</w:t>
            </w:r>
            <w:r w:rsidR="00C21D7C">
              <w:rPr>
                <w:b/>
              </w:rPr>
              <w:t xml:space="preserve"> </w:t>
            </w:r>
            <w:r w:rsidR="00C21D7C">
              <w:t>runoff that flows into the basin and does not overflow into an overflow structure is abstracted from the stormsewer system through infiltration or evapotranspiration</w:t>
            </w:r>
            <w:r>
              <w:t xml:space="preserve"> compared to bioretention with an</w:t>
            </w:r>
            <w:r w:rsidR="0016011A">
              <w:t xml:space="preserve"> </w:t>
            </w:r>
            <w:r>
              <w:t>underdrain</w:t>
            </w:r>
            <w:r w:rsidR="005C48E0">
              <w:t xml:space="preserve"> </w:t>
            </w:r>
            <w:r>
              <w:t>at the bottom of the basin without an upturned elbow, because the upturned elbow increases hydraulic retention time</w:t>
            </w:r>
            <w:r w:rsidR="00C21D7C">
              <w:t>; the remainder is filtered by the growing medium but then leaves via an underdrain with an upturned elbow</w:t>
            </w:r>
            <w:r w:rsidR="00A53BFC">
              <w:t xml:space="preserve">. </w:t>
            </w:r>
          </w:p>
        </w:tc>
        <w:tc>
          <w:tcPr>
            <w:tcW w:w="2250" w:type="dxa"/>
          </w:tcPr>
          <w:p w:rsidR="00C21D7C" w:rsidRPr="00C21D7C" w:rsidRDefault="00691474" w:rsidP="00C21D7C">
            <w:r>
              <w:t>Not included</w:t>
            </w:r>
          </w:p>
        </w:tc>
      </w:tr>
      <w:tr w:rsidR="00C646F7" w:rsidTr="0061603D">
        <w:tc>
          <w:tcPr>
            <w:tcW w:w="1908" w:type="dxa"/>
          </w:tcPr>
          <w:p w:rsidR="00C646F7" w:rsidRPr="00E55BEF" w:rsidRDefault="00C646F7" w:rsidP="00080B25">
            <w:pPr>
              <w:tabs>
                <w:tab w:val="left" w:pos="1005"/>
              </w:tabs>
              <w:rPr>
                <w:b/>
              </w:rPr>
            </w:pPr>
            <w:r w:rsidRPr="00E55BEF">
              <w:rPr>
                <w:b/>
              </w:rPr>
              <w:lastRenderedPageBreak/>
              <w:t>BMP</w:t>
            </w:r>
            <w:r>
              <w:rPr>
                <w:b/>
              </w:rPr>
              <w:tab/>
            </w:r>
          </w:p>
        </w:tc>
        <w:tc>
          <w:tcPr>
            <w:tcW w:w="4140" w:type="dxa"/>
          </w:tcPr>
          <w:p w:rsidR="00C646F7" w:rsidRPr="00E55BEF" w:rsidRDefault="00C646F7" w:rsidP="00080B25">
            <w:pPr>
              <w:rPr>
                <w:b/>
              </w:rPr>
            </w:pPr>
            <w:r>
              <w:rPr>
                <w:b/>
              </w:rPr>
              <w:t>Typical Uses; Advantages (see 2008 manual performance types for more detail)</w:t>
            </w:r>
          </w:p>
        </w:tc>
        <w:tc>
          <w:tcPr>
            <w:tcW w:w="4320" w:type="dxa"/>
          </w:tcPr>
          <w:p w:rsidR="00C646F7" w:rsidRDefault="00C646F7" w:rsidP="00080B25">
            <w:pPr>
              <w:rPr>
                <w:b/>
              </w:rPr>
            </w:pPr>
            <w:r>
              <w:rPr>
                <w:b/>
              </w:rPr>
              <w:t xml:space="preserve">Relative amount of runoff abstracted from storm sewer system </w:t>
            </w:r>
          </w:p>
        </w:tc>
        <w:tc>
          <w:tcPr>
            <w:tcW w:w="2250" w:type="dxa"/>
          </w:tcPr>
          <w:p w:rsidR="00C646F7" w:rsidRDefault="00C646F7" w:rsidP="00080B25">
            <w:pPr>
              <w:rPr>
                <w:b/>
              </w:rPr>
            </w:pPr>
            <w:r>
              <w:rPr>
                <w:b/>
              </w:rPr>
              <w:t>2008 manual terminology</w:t>
            </w:r>
          </w:p>
        </w:tc>
      </w:tr>
      <w:tr w:rsidR="00C646F7" w:rsidTr="0061603D">
        <w:tc>
          <w:tcPr>
            <w:tcW w:w="1908" w:type="dxa"/>
          </w:tcPr>
          <w:p w:rsidR="00C646F7" w:rsidRPr="00165005" w:rsidRDefault="00C646F7" w:rsidP="000232BF">
            <w:r w:rsidRPr="00165005">
              <w:t>Bio</w:t>
            </w:r>
            <w:r w:rsidR="005368EE">
              <w:t>filtration</w:t>
            </w:r>
            <w:r w:rsidRPr="00165005">
              <w:t xml:space="preserve"> basin with </w:t>
            </w:r>
            <w:r>
              <w:t>elevated underdrain</w:t>
            </w:r>
          </w:p>
          <w:p w:rsidR="00C646F7" w:rsidRDefault="00C646F7" w:rsidP="006A1799"/>
        </w:tc>
        <w:tc>
          <w:tcPr>
            <w:tcW w:w="4140" w:type="dxa"/>
          </w:tcPr>
          <w:p w:rsidR="00C646F7" w:rsidRDefault="00C646F7" w:rsidP="00C02C78">
            <w:r>
              <w:t xml:space="preserve">Allows for </w:t>
            </w:r>
            <w:r w:rsidR="00C02C78">
              <w:t>more</w:t>
            </w:r>
            <w:r>
              <w:t xml:space="preserve"> infiltration, at a rate compatible with underlying soils, but carries away excess water through the underdrain after it has been filtered through the basin; elevating underdrain (1) allows for more infiltration and evaporation compared to bioretention with underdrain at the bottom (2) improves </w:t>
            </w:r>
            <w:r>
              <w:rPr>
                <w:b/>
              </w:rPr>
              <w:t>thermal pollution abatement</w:t>
            </w:r>
            <w:r>
              <w:t xml:space="preserve"> and </w:t>
            </w:r>
            <w:r>
              <w:rPr>
                <w:b/>
              </w:rPr>
              <w:t>nitrogen removal</w:t>
            </w:r>
            <w:r>
              <w:t xml:space="preserve"> (longer retention time allows runoff to cool more before discharge and allows denitrification to occur under anoxic condition).</w:t>
            </w:r>
          </w:p>
        </w:tc>
        <w:tc>
          <w:tcPr>
            <w:tcW w:w="4320" w:type="dxa"/>
          </w:tcPr>
          <w:p w:rsidR="00C646F7" w:rsidRDefault="00C646F7" w:rsidP="00466B50">
            <w:pPr>
              <w:rPr>
                <w:b/>
              </w:rPr>
            </w:pPr>
            <w:r>
              <w:rPr>
                <w:b/>
              </w:rPr>
              <w:t xml:space="preserve">More </w:t>
            </w:r>
            <w:r w:rsidRPr="002A13DA">
              <w:t>of the</w:t>
            </w:r>
            <w:r>
              <w:rPr>
                <w:b/>
              </w:rPr>
              <w:t xml:space="preserve"> </w:t>
            </w:r>
            <w:r>
              <w:t>runoff that flows into the basin and does not overflow into an overflow structure is abstracted from the stormsewer system through infiltration or evapotranspiration compared to bioretention with an</w:t>
            </w:r>
            <w:r w:rsidR="005C48E0">
              <w:t xml:space="preserve"> </w:t>
            </w:r>
            <w:r>
              <w:t>underdrain</w:t>
            </w:r>
            <w:r w:rsidR="005C48E0">
              <w:t xml:space="preserve"> </w:t>
            </w:r>
            <w:r>
              <w:t>at the bottom of the basin, because the elevated underdrain increases hydraulic retention time; the remainder is filtered by the growing medium but then leaves via an elevated underdrain.</w:t>
            </w:r>
          </w:p>
        </w:tc>
        <w:tc>
          <w:tcPr>
            <w:tcW w:w="2250" w:type="dxa"/>
          </w:tcPr>
          <w:p w:rsidR="00C646F7" w:rsidRDefault="00C646F7">
            <w:r>
              <w:t>Infiltration/filtration/</w:t>
            </w:r>
            <w:r w:rsidR="0061603D">
              <w:t xml:space="preserve"> </w:t>
            </w:r>
            <w:r>
              <w:t>recharge</w:t>
            </w:r>
          </w:p>
        </w:tc>
      </w:tr>
      <w:tr w:rsidR="00C646F7" w:rsidTr="0061603D">
        <w:tc>
          <w:tcPr>
            <w:tcW w:w="1908" w:type="dxa"/>
          </w:tcPr>
          <w:p w:rsidR="00C646F7" w:rsidRPr="000232BF" w:rsidRDefault="00C646F7" w:rsidP="000232BF">
            <w:r w:rsidRPr="000232BF">
              <w:t>Bio</w:t>
            </w:r>
            <w:r w:rsidR="005368EE">
              <w:t>filtration</w:t>
            </w:r>
            <w:r w:rsidRPr="000232BF">
              <w:t xml:space="preserve"> basin with liner</w:t>
            </w:r>
          </w:p>
          <w:p w:rsidR="00C646F7" w:rsidRDefault="00C646F7" w:rsidP="00A97283"/>
        </w:tc>
        <w:tc>
          <w:tcPr>
            <w:tcW w:w="4140" w:type="dxa"/>
          </w:tcPr>
          <w:p w:rsidR="00C646F7" w:rsidRDefault="00C646F7" w:rsidP="00691378">
            <w:r>
              <w:rPr>
                <w:rFonts w:eastAsia="Times New Roman" w:cs="Calibri"/>
                <w:szCs w:val="22"/>
              </w:rPr>
              <w:t>Impervious liner reduces or eliminates possibility of groundwater contamination; underdrain can be blocked and objectionable materials siphoned through an observation well and safely contained; o</w:t>
            </w:r>
            <w:r w:rsidRPr="00236D98">
              <w:rPr>
                <w:rFonts w:eastAsia="Times New Roman" w:cs="Calibri"/>
                <w:szCs w:val="22"/>
              </w:rPr>
              <w:t>ften used in areas of potential stormwater “hot-spots” (e.g., gas stations, transfer sites, transportation depots,</w:t>
            </w:r>
            <w:r>
              <w:rPr>
                <w:rFonts w:eastAsia="Times New Roman" w:cs="Calibri"/>
                <w:szCs w:val="22"/>
              </w:rPr>
              <w:t>industrial complexes</w:t>
            </w:r>
            <w:r w:rsidRPr="00236D98">
              <w:rPr>
                <w:rFonts w:eastAsia="Times New Roman" w:cs="Calibri"/>
                <w:szCs w:val="22"/>
              </w:rPr>
              <w:t xml:space="preserve"> etc.),</w:t>
            </w:r>
            <w:r>
              <w:rPr>
                <w:rFonts w:eastAsia="Times New Roman" w:cs="Calibri"/>
                <w:szCs w:val="22"/>
              </w:rPr>
              <w:t xml:space="preserve"> or</w:t>
            </w:r>
            <w:r w:rsidRPr="00236D98">
              <w:rPr>
                <w:rFonts w:eastAsia="Times New Roman" w:cs="Calibri"/>
                <w:szCs w:val="22"/>
              </w:rPr>
              <w:t xml:space="preserve"> areas where groundwater recharge is undesirable</w:t>
            </w:r>
          </w:p>
        </w:tc>
        <w:tc>
          <w:tcPr>
            <w:tcW w:w="4320" w:type="dxa"/>
          </w:tcPr>
          <w:p w:rsidR="00C646F7" w:rsidRDefault="00C646F7" w:rsidP="00300CD0">
            <w:r>
              <w:rPr>
                <w:b/>
              </w:rPr>
              <w:t xml:space="preserve">None </w:t>
            </w:r>
            <w:r w:rsidRPr="001B1550">
              <w:t>of the</w:t>
            </w:r>
            <w:r>
              <w:t xml:space="preserve"> runoff that flows into the basin is abstracted from the stormsewer system through infiltration </w:t>
            </w:r>
            <w:r w:rsidR="00300CD0">
              <w:t>but some is abstracted through</w:t>
            </w:r>
            <w:r>
              <w:t xml:space="preserve"> evapotranspiration; i.e. all</w:t>
            </w:r>
            <w:r>
              <w:rPr>
                <w:b/>
              </w:rPr>
              <w:t xml:space="preserve"> </w:t>
            </w:r>
            <w:r w:rsidRPr="002A13DA">
              <w:t>of the</w:t>
            </w:r>
            <w:r>
              <w:rPr>
                <w:b/>
              </w:rPr>
              <w:t xml:space="preserve"> </w:t>
            </w:r>
            <w:r>
              <w:t>runoff that flows into the basin without flowing into an overflow structure</w:t>
            </w:r>
            <w:r w:rsidR="002453BB">
              <w:t>, and is not evapotranspired,</w:t>
            </w:r>
            <w:r>
              <w:t xml:space="preserve">  is filtered by the growing medium but then leaves via an underdrain.</w:t>
            </w:r>
          </w:p>
        </w:tc>
        <w:tc>
          <w:tcPr>
            <w:tcW w:w="2250" w:type="dxa"/>
          </w:tcPr>
          <w:p w:rsidR="00C646F7" w:rsidRPr="00C21D7C" w:rsidRDefault="00C646F7" w:rsidP="00A97283">
            <w:r w:rsidRPr="00C21D7C">
              <w:t>Filtration only</w:t>
            </w:r>
          </w:p>
        </w:tc>
      </w:tr>
    </w:tbl>
    <w:p w:rsidR="000232BF" w:rsidRDefault="000232BF" w:rsidP="000232BF">
      <w:pPr>
        <w:rPr>
          <w:b/>
        </w:rPr>
      </w:pPr>
    </w:p>
    <w:p w:rsidR="00C646F7" w:rsidRDefault="00C646F7" w:rsidP="000232BF">
      <w:pPr>
        <w:rPr>
          <w:b/>
        </w:rPr>
      </w:pPr>
    </w:p>
    <w:p w:rsidR="00C646F7" w:rsidRDefault="00C646F7" w:rsidP="000232BF">
      <w:pPr>
        <w:rPr>
          <w:b/>
        </w:rPr>
      </w:pPr>
    </w:p>
    <w:p w:rsidR="000232BF" w:rsidRPr="00960327" w:rsidRDefault="0061603D" w:rsidP="000232BF">
      <w:pPr>
        <w:rPr>
          <w:b/>
        </w:rPr>
      </w:pPr>
      <w:r>
        <w:rPr>
          <w:b/>
        </w:rPr>
        <w:br w:type="page"/>
      </w:r>
      <w:r w:rsidR="000232BF">
        <w:rPr>
          <w:b/>
        </w:rPr>
        <w:lastRenderedPageBreak/>
        <w:t xml:space="preserve">Other </w:t>
      </w:r>
      <w:r w:rsidR="000232BF" w:rsidRPr="00960327">
        <w:rPr>
          <w:b/>
        </w:rPr>
        <w:t>Terminology options:</w:t>
      </w:r>
    </w:p>
    <w:p w:rsidR="00B35263" w:rsidRDefault="00B35263" w:rsidP="000232BF"/>
    <w:p w:rsidR="000232BF" w:rsidRDefault="000232BF" w:rsidP="000232BF">
      <w:r>
        <w:t>Bioretention Basin Types:</w:t>
      </w:r>
    </w:p>
    <w:p w:rsidR="000232BF" w:rsidRDefault="000232BF" w:rsidP="000232BF">
      <w:pPr>
        <w:numPr>
          <w:ilvl w:val="0"/>
          <w:numId w:val="29"/>
        </w:numPr>
      </w:pPr>
      <w:r>
        <w:t>Bioinfiltration Basin</w:t>
      </w:r>
    </w:p>
    <w:p w:rsidR="000232BF" w:rsidRDefault="000232BF" w:rsidP="000232BF">
      <w:pPr>
        <w:numPr>
          <w:ilvl w:val="0"/>
          <w:numId w:val="29"/>
        </w:numPr>
      </w:pPr>
      <w:r>
        <w:t>Biofiltration Basin with limited infiltration: underdrain at bottom</w:t>
      </w:r>
    </w:p>
    <w:p w:rsidR="000232BF" w:rsidRDefault="000232BF" w:rsidP="000232BF">
      <w:pPr>
        <w:numPr>
          <w:ilvl w:val="0"/>
          <w:numId w:val="29"/>
        </w:numPr>
      </w:pPr>
      <w:r>
        <w:t xml:space="preserve">Biofiltration Basin with limited infiltration: elevated underdrain </w:t>
      </w:r>
    </w:p>
    <w:p w:rsidR="000232BF" w:rsidRDefault="000232BF" w:rsidP="000232BF">
      <w:pPr>
        <w:numPr>
          <w:ilvl w:val="0"/>
          <w:numId w:val="29"/>
        </w:numPr>
      </w:pPr>
      <w:r>
        <w:t xml:space="preserve">Biofiltration Basin with limited infiltration: internal water storage layer (IWS) </w:t>
      </w:r>
    </w:p>
    <w:p w:rsidR="000232BF" w:rsidRDefault="000232BF" w:rsidP="000232BF">
      <w:pPr>
        <w:numPr>
          <w:ilvl w:val="0"/>
          <w:numId w:val="29"/>
        </w:numPr>
      </w:pPr>
      <w:r>
        <w:t xml:space="preserve">Biofiltration Basin with </w:t>
      </w:r>
      <w:r w:rsidR="00B35263">
        <w:t>liner</w:t>
      </w:r>
    </w:p>
    <w:p w:rsidR="000232BF" w:rsidRDefault="000232BF" w:rsidP="000232BF"/>
    <w:p w:rsidR="000232BF" w:rsidRDefault="000232BF" w:rsidP="000232BF">
      <w:r>
        <w:t xml:space="preserve">OR: </w:t>
      </w:r>
    </w:p>
    <w:p w:rsidR="000E7770" w:rsidRDefault="000E7770" w:rsidP="000232BF"/>
    <w:p w:rsidR="000E7770" w:rsidRDefault="000E7770" w:rsidP="000E7770">
      <w:r>
        <w:t>The option below highlights the fact that all bioretention basins (except with liner) have some infiltration and some filtration:</w:t>
      </w:r>
    </w:p>
    <w:p w:rsidR="000232BF" w:rsidRDefault="000232BF" w:rsidP="000232BF"/>
    <w:p w:rsidR="002703DB" w:rsidRPr="00165005" w:rsidRDefault="002703DB" w:rsidP="002703DB">
      <w:pPr>
        <w:numPr>
          <w:ilvl w:val="0"/>
          <w:numId w:val="31"/>
        </w:numPr>
      </w:pPr>
      <w:r w:rsidRPr="00165005">
        <w:t>Bioretention basin without underdrain</w:t>
      </w:r>
    </w:p>
    <w:p w:rsidR="002703DB" w:rsidRPr="00165005" w:rsidRDefault="002703DB" w:rsidP="002703DB">
      <w:pPr>
        <w:numPr>
          <w:ilvl w:val="0"/>
          <w:numId w:val="31"/>
        </w:numPr>
      </w:pPr>
      <w:r w:rsidRPr="00165005">
        <w:t xml:space="preserve">Bioretention basin with underdrain at bottom </w:t>
      </w:r>
    </w:p>
    <w:p w:rsidR="002703DB" w:rsidRPr="00165005" w:rsidRDefault="002703DB" w:rsidP="002703DB">
      <w:pPr>
        <w:numPr>
          <w:ilvl w:val="0"/>
          <w:numId w:val="31"/>
        </w:numPr>
      </w:pPr>
      <w:r w:rsidRPr="00165005">
        <w:t xml:space="preserve">Bioretention basin with elevated underdrain </w:t>
      </w:r>
    </w:p>
    <w:p w:rsidR="002703DB" w:rsidRPr="00165005" w:rsidRDefault="002703DB" w:rsidP="002703DB">
      <w:pPr>
        <w:numPr>
          <w:ilvl w:val="0"/>
          <w:numId w:val="31"/>
        </w:numPr>
      </w:pPr>
      <w:r w:rsidRPr="00165005">
        <w:t xml:space="preserve">Bioretention basin with internal water storage </w:t>
      </w:r>
    </w:p>
    <w:p w:rsidR="002703DB" w:rsidRDefault="002703DB" w:rsidP="002703DB">
      <w:pPr>
        <w:numPr>
          <w:ilvl w:val="0"/>
          <w:numId w:val="31"/>
        </w:numPr>
      </w:pPr>
      <w:r w:rsidRPr="00165005">
        <w:t>Bioretention basin</w:t>
      </w:r>
      <w:r>
        <w:t xml:space="preserve"> with liner</w:t>
      </w:r>
    </w:p>
    <w:p w:rsidR="00B35263" w:rsidRDefault="00B35263" w:rsidP="00B35263"/>
    <w:p w:rsidR="000E7770" w:rsidRDefault="000E7770" w:rsidP="00B35263">
      <w:r>
        <w:t>OR</w:t>
      </w:r>
    </w:p>
    <w:p w:rsidR="000E7770" w:rsidRDefault="000E7770" w:rsidP="00B35263"/>
    <w:p w:rsidR="00B35263" w:rsidRDefault="00B35263" w:rsidP="00B35263">
      <w:r>
        <w:t>The option below calls all bioretention basins (including the one without an underdrain) biofiltration basins, to highlight that the bioretention basins all infiltrate less volume than infiltration basins:</w:t>
      </w:r>
    </w:p>
    <w:p w:rsidR="00B35263" w:rsidRDefault="00B35263" w:rsidP="00B35263"/>
    <w:p w:rsidR="00B35263" w:rsidRDefault="00B35263" w:rsidP="00B35263">
      <w:r>
        <w:t>Bioretention Basin Types:</w:t>
      </w:r>
    </w:p>
    <w:p w:rsidR="00B35263" w:rsidRDefault="00B35263" w:rsidP="00B35263">
      <w:pPr>
        <w:numPr>
          <w:ilvl w:val="0"/>
          <w:numId w:val="29"/>
        </w:numPr>
      </w:pPr>
      <w:r>
        <w:t>Biofiltration Basin without underdrain</w:t>
      </w:r>
    </w:p>
    <w:p w:rsidR="00B35263" w:rsidRDefault="00B35263" w:rsidP="00B35263">
      <w:pPr>
        <w:numPr>
          <w:ilvl w:val="0"/>
          <w:numId w:val="29"/>
        </w:numPr>
      </w:pPr>
      <w:r>
        <w:t>Biofiltration Basin with underdrain at bottom</w:t>
      </w:r>
    </w:p>
    <w:p w:rsidR="00B35263" w:rsidRDefault="00B35263" w:rsidP="00B35263">
      <w:pPr>
        <w:numPr>
          <w:ilvl w:val="0"/>
          <w:numId w:val="29"/>
        </w:numPr>
      </w:pPr>
      <w:r>
        <w:t xml:space="preserve">Biofiltration Basin with elevated underdrain </w:t>
      </w:r>
    </w:p>
    <w:p w:rsidR="00B35263" w:rsidRDefault="00B35263" w:rsidP="00B35263">
      <w:pPr>
        <w:numPr>
          <w:ilvl w:val="0"/>
          <w:numId w:val="29"/>
        </w:numPr>
      </w:pPr>
      <w:r>
        <w:t xml:space="preserve">Biofiltration Basin with internal water storage layer (IWS) </w:t>
      </w:r>
    </w:p>
    <w:p w:rsidR="00B35263" w:rsidRDefault="00B35263" w:rsidP="00B35263">
      <w:pPr>
        <w:numPr>
          <w:ilvl w:val="0"/>
          <w:numId w:val="29"/>
        </w:numPr>
      </w:pPr>
      <w:r>
        <w:t>Biofiltration Basin with liner</w:t>
      </w:r>
    </w:p>
    <w:p w:rsidR="00B35263" w:rsidRPr="00B35263" w:rsidRDefault="00B35263" w:rsidP="00B35263">
      <w:pPr>
        <w:rPr>
          <w:rFonts w:eastAsia="Times New Roman" w:cs="Calibri"/>
          <w:b/>
          <w:sz w:val="28"/>
          <w:szCs w:val="28"/>
        </w:rPr>
      </w:pPr>
    </w:p>
    <w:sectPr w:rsidR="00B35263" w:rsidRPr="00B35263" w:rsidSect="00161CBF">
      <w:headerReference w:type="default" r:id="rId7"/>
      <w:footerReference w:type="default" r:id="rId8"/>
      <w:pgSz w:w="15840" w:h="12240" w:orient="landscape"/>
      <w:pgMar w:top="1440" w:right="288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FBC" w:rsidRDefault="00333FBC">
      <w:r>
        <w:separator/>
      </w:r>
    </w:p>
  </w:endnote>
  <w:endnote w:type="continuationSeparator" w:id="0">
    <w:p w:rsidR="00333FBC" w:rsidRDefault="0033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78" w:rsidRDefault="00C02C78">
    <w:pPr>
      <w:pStyle w:val="Footer"/>
      <w:jc w:val="right"/>
    </w:pPr>
    <w:r>
      <w:fldChar w:fldCharType="begin"/>
    </w:r>
    <w:r>
      <w:instrText xml:space="preserve"> PAGE   \* MERGEFORMAT </w:instrText>
    </w:r>
    <w:r>
      <w:fldChar w:fldCharType="separate"/>
    </w:r>
    <w:r w:rsidR="003C3DFB">
      <w:rPr>
        <w:noProof/>
      </w:rPr>
      <w:t>1</w:t>
    </w:r>
    <w:r>
      <w:fldChar w:fldCharType="end"/>
    </w:r>
  </w:p>
  <w:p w:rsidR="00C02C78" w:rsidRDefault="00C02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FBC" w:rsidRDefault="00333FBC">
      <w:r>
        <w:separator/>
      </w:r>
    </w:p>
  </w:footnote>
  <w:footnote w:type="continuationSeparator" w:id="0">
    <w:p w:rsidR="00333FBC" w:rsidRDefault="00333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78" w:rsidRDefault="00C02C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513pt;margin-top:-36pt;width:154.5pt;height:77.25pt;z-index:-251658752" wrapcoords="-105 0 -105 21390 21600 21390 21600 0 -105 0">
          <v:imagedata r:id="rId1" o:title="Kestrel_Logo_Horiz_3C"/>
          <w10:wrap type="tigh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6C7"/>
    <w:multiLevelType w:val="hybridMultilevel"/>
    <w:tmpl w:val="FCD6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C50FD"/>
    <w:multiLevelType w:val="hybridMultilevel"/>
    <w:tmpl w:val="6E624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AE1980"/>
    <w:multiLevelType w:val="hybridMultilevel"/>
    <w:tmpl w:val="12BAB9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65DB3"/>
    <w:multiLevelType w:val="hybridMultilevel"/>
    <w:tmpl w:val="C25CB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7B716B"/>
    <w:multiLevelType w:val="hybridMultilevel"/>
    <w:tmpl w:val="2FA642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C54E8A"/>
    <w:multiLevelType w:val="hybridMultilevel"/>
    <w:tmpl w:val="9E3AAD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396651"/>
    <w:multiLevelType w:val="hybridMultilevel"/>
    <w:tmpl w:val="0934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005F1"/>
    <w:multiLevelType w:val="hybridMultilevel"/>
    <w:tmpl w:val="27C63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2D21C0"/>
    <w:multiLevelType w:val="hybridMultilevel"/>
    <w:tmpl w:val="06C64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92791"/>
    <w:multiLevelType w:val="hybridMultilevel"/>
    <w:tmpl w:val="47A60F34"/>
    <w:lvl w:ilvl="0" w:tplc="04090019">
      <w:start w:val="1"/>
      <w:numFmt w:val="lowerLetter"/>
      <w:lvlText w:val="%1."/>
      <w:lvlJc w:val="left"/>
      <w:pPr>
        <w:ind w:left="720" w:hanging="360"/>
      </w:pPr>
    </w:lvl>
    <w:lvl w:ilvl="1" w:tplc="22E88C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9E1AAB"/>
    <w:multiLevelType w:val="hybridMultilevel"/>
    <w:tmpl w:val="A330E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970F4"/>
    <w:multiLevelType w:val="hybridMultilevel"/>
    <w:tmpl w:val="1D64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42CA9"/>
    <w:multiLevelType w:val="hybridMultilevel"/>
    <w:tmpl w:val="F556AE0C"/>
    <w:lvl w:ilvl="0" w:tplc="194617BE">
      <w:start w:val="1"/>
      <w:numFmt w:val="bullet"/>
      <w:lvlText w:val=""/>
      <w:lvlJc w:val="left"/>
      <w:pPr>
        <w:tabs>
          <w:tab w:val="num" w:pos="2520"/>
        </w:tabs>
        <w:ind w:left="2520" w:hanging="360"/>
      </w:pPr>
      <w:rPr>
        <w:rFonts w:ascii="Symbol" w:hAnsi="Symbol"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EBC0EAF"/>
    <w:multiLevelType w:val="hybridMultilevel"/>
    <w:tmpl w:val="F6E8E31C"/>
    <w:lvl w:ilvl="0" w:tplc="194617BE">
      <w:start w:val="1"/>
      <w:numFmt w:val="bullet"/>
      <w:lvlText w:val=""/>
      <w:lvlJc w:val="left"/>
      <w:pPr>
        <w:tabs>
          <w:tab w:val="num" w:pos="2160"/>
        </w:tabs>
        <w:ind w:left="2160" w:hanging="360"/>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FDD7559"/>
    <w:multiLevelType w:val="hybridMultilevel"/>
    <w:tmpl w:val="6A0838E2"/>
    <w:lvl w:ilvl="0" w:tplc="BFC44D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BF57FD"/>
    <w:multiLevelType w:val="hybridMultilevel"/>
    <w:tmpl w:val="8356E85E"/>
    <w:lvl w:ilvl="0" w:tplc="04090019">
      <w:start w:val="1"/>
      <w:numFmt w:val="lowerLetter"/>
      <w:lvlText w:val="%1."/>
      <w:lvlJc w:val="left"/>
      <w:pPr>
        <w:ind w:left="720" w:hanging="360"/>
      </w:pPr>
    </w:lvl>
    <w:lvl w:ilvl="1" w:tplc="7D6CF74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D81F2F"/>
    <w:multiLevelType w:val="hybridMultilevel"/>
    <w:tmpl w:val="2F8A1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1D4A3B"/>
    <w:multiLevelType w:val="hybridMultilevel"/>
    <w:tmpl w:val="0C427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AC15B0"/>
    <w:multiLevelType w:val="hybridMultilevel"/>
    <w:tmpl w:val="7A1C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55CC9"/>
    <w:multiLevelType w:val="hybridMultilevel"/>
    <w:tmpl w:val="89A893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03403F6"/>
    <w:multiLevelType w:val="hybridMultilevel"/>
    <w:tmpl w:val="4F84EB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BF0D5B"/>
    <w:multiLevelType w:val="hybridMultilevel"/>
    <w:tmpl w:val="41D28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C4173A"/>
    <w:multiLevelType w:val="hybridMultilevel"/>
    <w:tmpl w:val="D070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4B61D8"/>
    <w:multiLevelType w:val="hybridMultilevel"/>
    <w:tmpl w:val="EDA4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255AE9"/>
    <w:multiLevelType w:val="hybridMultilevel"/>
    <w:tmpl w:val="EFE2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465B05"/>
    <w:multiLevelType w:val="hybridMultilevel"/>
    <w:tmpl w:val="72549E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9F7534"/>
    <w:multiLevelType w:val="hybridMultilevel"/>
    <w:tmpl w:val="224A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D30FC2"/>
    <w:multiLevelType w:val="hybridMultilevel"/>
    <w:tmpl w:val="84D2D6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83A2D84"/>
    <w:multiLevelType w:val="hybridMultilevel"/>
    <w:tmpl w:val="859E62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3B7CE3"/>
    <w:multiLevelType w:val="hybridMultilevel"/>
    <w:tmpl w:val="48F41B4C"/>
    <w:lvl w:ilvl="0" w:tplc="BFC44D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9"/>
  </w:num>
  <w:num w:numId="3">
    <w:abstractNumId w:val="14"/>
  </w:num>
  <w:num w:numId="4">
    <w:abstractNumId w:val="17"/>
  </w:num>
  <w:num w:numId="5">
    <w:abstractNumId w:val="28"/>
  </w:num>
  <w:num w:numId="6">
    <w:abstractNumId w:val="7"/>
  </w:num>
  <w:num w:numId="7">
    <w:abstractNumId w:val="21"/>
  </w:num>
  <w:num w:numId="8">
    <w:abstractNumId w:val="8"/>
  </w:num>
  <w:num w:numId="9">
    <w:abstractNumId w:val="2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27"/>
  </w:num>
  <w:num w:numId="14">
    <w:abstractNumId w:val="4"/>
  </w:num>
  <w:num w:numId="1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6"/>
  </w:num>
  <w:num w:numId="21">
    <w:abstractNumId w:val="24"/>
  </w:num>
  <w:num w:numId="22">
    <w:abstractNumId w:val="0"/>
  </w:num>
  <w:num w:numId="23">
    <w:abstractNumId w:val="9"/>
  </w:num>
  <w:num w:numId="24">
    <w:abstractNumId w:val="15"/>
  </w:num>
  <w:num w:numId="25">
    <w:abstractNumId w:val="22"/>
  </w:num>
  <w:num w:numId="26">
    <w:abstractNumId w:val="18"/>
  </w:num>
  <w:num w:numId="27">
    <w:abstractNumId w:val="16"/>
  </w:num>
  <w:num w:numId="28">
    <w:abstractNumId w:val="10"/>
  </w:num>
  <w:num w:numId="29">
    <w:abstractNumId w:val="6"/>
  </w:num>
  <w:num w:numId="30">
    <w:abstractNumId w:val="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A0"/>
    <w:rsid w:val="00005196"/>
    <w:rsid w:val="0000799A"/>
    <w:rsid w:val="00010D2F"/>
    <w:rsid w:val="000125FD"/>
    <w:rsid w:val="000200FA"/>
    <w:rsid w:val="000232BF"/>
    <w:rsid w:val="000237A9"/>
    <w:rsid w:val="00035AEA"/>
    <w:rsid w:val="00036DDE"/>
    <w:rsid w:val="000567DC"/>
    <w:rsid w:val="00060AF8"/>
    <w:rsid w:val="00077207"/>
    <w:rsid w:val="00077737"/>
    <w:rsid w:val="00080858"/>
    <w:rsid w:val="00080B25"/>
    <w:rsid w:val="000816F0"/>
    <w:rsid w:val="00090902"/>
    <w:rsid w:val="00091DC1"/>
    <w:rsid w:val="000A1839"/>
    <w:rsid w:val="000B4889"/>
    <w:rsid w:val="000E118A"/>
    <w:rsid w:val="000E7770"/>
    <w:rsid w:val="000F3EF5"/>
    <w:rsid w:val="001272A3"/>
    <w:rsid w:val="001310D1"/>
    <w:rsid w:val="001562A7"/>
    <w:rsid w:val="0016011A"/>
    <w:rsid w:val="00161CBF"/>
    <w:rsid w:val="00162A02"/>
    <w:rsid w:val="00165005"/>
    <w:rsid w:val="001654E4"/>
    <w:rsid w:val="00170F9E"/>
    <w:rsid w:val="00176AA5"/>
    <w:rsid w:val="00194CAC"/>
    <w:rsid w:val="001A67F3"/>
    <w:rsid w:val="001C7A29"/>
    <w:rsid w:val="001E4A29"/>
    <w:rsid w:val="00202751"/>
    <w:rsid w:val="00202EFC"/>
    <w:rsid w:val="00211C0B"/>
    <w:rsid w:val="00236D98"/>
    <w:rsid w:val="002453BB"/>
    <w:rsid w:val="00257B89"/>
    <w:rsid w:val="002703DB"/>
    <w:rsid w:val="002B33DD"/>
    <w:rsid w:val="002C4B2D"/>
    <w:rsid w:val="002D2320"/>
    <w:rsid w:val="002E1ACB"/>
    <w:rsid w:val="002E3391"/>
    <w:rsid w:val="002E655C"/>
    <w:rsid w:val="002E7B79"/>
    <w:rsid w:val="00300CD0"/>
    <w:rsid w:val="00327202"/>
    <w:rsid w:val="00333FBC"/>
    <w:rsid w:val="00340724"/>
    <w:rsid w:val="00347EBA"/>
    <w:rsid w:val="0035773A"/>
    <w:rsid w:val="0036253A"/>
    <w:rsid w:val="00365D5A"/>
    <w:rsid w:val="0037166C"/>
    <w:rsid w:val="003748BC"/>
    <w:rsid w:val="00394FBF"/>
    <w:rsid w:val="003A4E3A"/>
    <w:rsid w:val="003C3DFB"/>
    <w:rsid w:val="003C48F8"/>
    <w:rsid w:val="003C5D16"/>
    <w:rsid w:val="003D5A52"/>
    <w:rsid w:val="003E1A5C"/>
    <w:rsid w:val="003F5A5C"/>
    <w:rsid w:val="00403690"/>
    <w:rsid w:val="00403AAC"/>
    <w:rsid w:val="004130D9"/>
    <w:rsid w:val="00417BC2"/>
    <w:rsid w:val="00422AA9"/>
    <w:rsid w:val="00445413"/>
    <w:rsid w:val="00460A27"/>
    <w:rsid w:val="00460F0A"/>
    <w:rsid w:val="00466B50"/>
    <w:rsid w:val="00476D64"/>
    <w:rsid w:val="004810AA"/>
    <w:rsid w:val="004A4022"/>
    <w:rsid w:val="004C6588"/>
    <w:rsid w:val="004E27CB"/>
    <w:rsid w:val="004F2C69"/>
    <w:rsid w:val="004F4A05"/>
    <w:rsid w:val="005053CE"/>
    <w:rsid w:val="005146E2"/>
    <w:rsid w:val="005270BA"/>
    <w:rsid w:val="005368EE"/>
    <w:rsid w:val="00546A98"/>
    <w:rsid w:val="00560A49"/>
    <w:rsid w:val="00565358"/>
    <w:rsid w:val="005733F6"/>
    <w:rsid w:val="00587050"/>
    <w:rsid w:val="00592506"/>
    <w:rsid w:val="005C2C95"/>
    <w:rsid w:val="005C3269"/>
    <w:rsid w:val="005C48E0"/>
    <w:rsid w:val="005C5D1C"/>
    <w:rsid w:val="005C6EC9"/>
    <w:rsid w:val="005D2AD6"/>
    <w:rsid w:val="005D3EC6"/>
    <w:rsid w:val="005E7041"/>
    <w:rsid w:val="005F1763"/>
    <w:rsid w:val="005F624D"/>
    <w:rsid w:val="006027B3"/>
    <w:rsid w:val="0060326E"/>
    <w:rsid w:val="006044D7"/>
    <w:rsid w:val="0061603D"/>
    <w:rsid w:val="00630C85"/>
    <w:rsid w:val="00631BB8"/>
    <w:rsid w:val="00643257"/>
    <w:rsid w:val="00645A36"/>
    <w:rsid w:val="00655B3B"/>
    <w:rsid w:val="006654AB"/>
    <w:rsid w:val="00666007"/>
    <w:rsid w:val="00691378"/>
    <w:rsid w:val="00691474"/>
    <w:rsid w:val="0069371B"/>
    <w:rsid w:val="006A13B5"/>
    <w:rsid w:val="006A1799"/>
    <w:rsid w:val="006A7BD5"/>
    <w:rsid w:val="006B1135"/>
    <w:rsid w:val="006C179A"/>
    <w:rsid w:val="006E0A58"/>
    <w:rsid w:val="0070620C"/>
    <w:rsid w:val="00711F91"/>
    <w:rsid w:val="007203AA"/>
    <w:rsid w:val="00771E9E"/>
    <w:rsid w:val="007749D3"/>
    <w:rsid w:val="00776500"/>
    <w:rsid w:val="0077724C"/>
    <w:rsid w:val="007846D8"/>
    <w:rsid w:val="00791761"/>
    <w:rsid w:val="00791FEF"/>
    <w:rsid w:val="007A3471"/>
    <w:rsid w:val="007A663D"/>
    <w:rsid w:val="007C2E96"/>
    <w:rsid w:val="007F1287"/>
    <w:rsid w:val="007F4C18"/>
    <w:rsid w:val="00804B8A"/>
    <w:rsid w:val="00813346"/>
    <w:rsid w:val="00844AD1"/>
    <w:rsid w:val="008630B7"/>
    <w:rsid w:val="008744A8"/>
    <w:rsid w:val="008A3053"/>
    <w:rsid w:val="008A6737"/>
    <w:rsid w:val="008C05EF"/>
    <w:rsid w:val="008E1892"/>
    <w:rsid w:val="008E56DA"/>
    <w:rsid w:val="008E795C"/>
    <w:rsid w:val="008F5755"/>
    <w:rsid w:val="008F6BE6"/>
    <w:rsid w:val="00904C6F"/>
    <w:rsid w:val="00947C43"/>
    <w:rsid w:val="00953A1C"/>
    <w:rsid w:val="009664DF"/>
    <w:rsid w:val="009733A1"/>
    <w:rsid w:val="00974BED"/>
    <w:rsid w:val="00982E14"/>
    <w:rsid w:val="00984FA7"/>
    <w:rsid w:val="009A5858"/>
    <w:rsid w:val="009A71A2"/>
    <w:rsid w:val="009B6253"/>
    <w:rsid w:val="009E04CD"/>
    <w:rsid w:val="009F6F9E"/>
    <w:rsid w:val="009F7831"/>
    <w:rsid w:val="00A125D8"/>
    <w:rsid w:val="00A34936"/>
    <w:rsid w:val="00A35B43"/>
    <w:rsid w:val="00A45702"/>
    <w:rsid w:val="00A53BFC"/>
    <w:rsid w:val="00A608CC"/>
    <w:rsid w:val="00A6547C"/>
    <w:rsid w:val="00A81A81"/>
    <w:rsid w:val="00A842FF"/>
    <w:rsid w:val="00A84D51"/>
    <w:rsid w:val="00A8557C"/>
    <w:rsid w:val="00A86CF6"/>
    <w:rsid w:val="00A97283"/>
    <w:rsid w:val="00AA5035"/>
    <w:rsid w:val="00AB601F"/>
    <w:rsid w:val="00AD70CE"/>
    <w:rsid w:val="00AE70B4"/>
    <w:rsid w:val="00B35263"/>
    <w:rsid w:val="00B42302"/>
    <w:rsid w:val="00B53363"/>
    <w:rsid w:val="00B5563E"/>
    <w:rsid w:val="00B637FB"/>
    <w:rsid w:val="00B64FF8"/>
    <w:rsid w:val="00B669DA"/>
    <w:rsid w:val="00B7357C"/>
    <w:rsid w:val="00B73E0A"/>
    <w:rsid w:val="00B74869"/>
    <w:rsid w:val="00B74FCB"/>
    <w:rsid w:val="00BB333C"/>
    <w:rsid w:val="00BD5115"/>
    <w:rsid w:val="00BE3E17"/>
    <w:rsid w:val="00BE4D6E"/>
    <w:rsid w:val="00C02C78"/>
    <w:rsid w:val="00C0404D"/>
    <w:rsid w:val="00C21D7C"/>
    <w:rsid w:val="00C408F0"/>
    <w:rsid w:val="00C42AA3"/>
    <w:rsid w:val="00C4532A"/>
    <w:rsid w:val="00C52182"/>
    <w:rsid w:val="00C629F9"/>
    <w:rsid w:val="00C646F7"/>
    <w:rsid w:val="00C71E2E"/>
    <w:rsid w:val="00C77710"/>
    <w:rsid w:val="00C807D7"/>
    <w:rsid w:val="00C849F3"/>
    <w:rsid w:val="00C92DEA"/>
    <w:rsid w:val="00CA1A4D"/>
    <w:rsid w:val="00CB4DAF"/>
    <w:rsid w:val="00CB4F55"/>
    <w:rsid w:val="00CB76A8"/>
    <w:rsid w:val="00CC458C"/>
    <w:rsid w:val="00CC7A34"/>
    <w:rsid w:val="00CD479C"/>
    <w:rsid w:val="00CE16BB"/>
    <w:rsid w:val="00CF0024"/>
    <w:rsid w:val="00D010B5"/>
    <w:rsid w:val="00D01A78"/>
    <w:rsid w:val="00D03377"/>
    <w:rsid w:val="00D117D4"/>
    <w:rsid w:val="00D14D10"/>
    <w:rsid w:val="00D153A7"/>
    <w:rsid w:val="00D16BB8"/>
    <w:rsid w:val="00D4400D"/>
    <w:rsid w:val="00D529C4"/>
    <w:rsid w:val="00D56719"/>
    <w:rsid w:val="00D73BD7"/>
    <w:rsid w:val="00D87F8F"/>
    <w:rsid w:val="00D96499"/>
    <w:rsid w:val="00DC518F"/>
    <w:rsid w:val="00DD3EC5"/>
    <w:rsid w:val="00DF3F7D"/>
    <w:rsid w:val="00E142AD"/>
    <w:rsid w:val="00E1747C"/>
    <w:rsid w:val="00E23D12"/>
    <w:rsid w:val="00E26501"/>
    <w:rsid w:val="00E323BD"/>
    <w:rsid w:val="00E32707"/>
    <w:rsid w:val="00E35BF5"/>
    <w:rsid w:val="00E52B72"/>
    <w:rsid w:val="00E537D7"/>
    <w:rsid w:val="00E5546A"/>
    <w:rsid w:val="00E70A5B"/>
    <w:rsid w:val="00E77226"/>
    <w:rsid w:val="00E83F07"/>
    <w:rsid w:val="00E849D2"/>
    <w:rsid w:val="00EB3403"/>
    <w:rsid w:val="00EB3E39"/>
    <w:rsid w:val="00EB507F"/>
    <w:rsid w:val="00EC17E1"/>
    <w:rsid w:val="00EC3C09"/>
    <w:rsid w:val="00ED0CC2"/>
    <w:rsid w:val="00ED1A0C"/>
    <w:rsid w:val="00ED1A81"/>
    <w:rsid w:val="00ED29E5"/>
    <w:rsid w:val="00EE6077"/>
    <w:rsid w:val="00F14E3B"/>
    <w:rsid w:val="00F26943"/>
    <w:rsid w:val="00F272D4"/>
    <w:rsid w:val="00F41EA2"/>
    <w:rsid w:val="00F75426"/>
    <w:rsid w:val="00F90B78"/>
    <w:rsid w:val="00FA2B88"/>
    <w:rsid w:val="00FA63E7"/>
    <w:rsid w:val="00FB6840"/>
    <w:rsid w:val="00FC060B"/>
    <w:rsid w:val="00FC5BC1"/>
    <w:rsid w:val="00FE38D9"/>
    <w:rsid w:val="00FF464B"/>
    <w:rsid w:val="00F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31"/>
        <o:r id="V:Rule2" type="connector" idref="#_x0000_s1039"/>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F9E"/>
    <w:rPr>
      <w:rFonts w:ascii="Calibri" w:hAnsi="Calibri"/>
      <w:sz w:val="22"/>
      <w:szCs w:val="24"/>
    </w:rPr>
  </w:style>
  <w:style w:type="paragraph" w:styleId="Heading2">
    <w:name w:val="heading 2"/>
    <w:basedOn w:val="Normal"/>
    <w:next w:val="Normal"/>
    <w:qFormat/>
    <w:rsid w:val="00B73E0A"/>
    <w:pPr>
      <w:keepNext/>
      <w:autoSpaceDE w:val="0"/>
      <w:autoSpaceDN w:val="0"/>
      <w:adjustRightInd w:val="0"/>
      <w:jc w:val="center"/>
      <w:outlineLvl w:val="1"/>
    </w:pPr>
    <w:rPr>
      <w:rFonts w:ascii="Times New Roman" w:eastAsia="Times New Roman" w:hAnsi="Times New Roman"/>
      <w:b/>
      <w:bCs/>
      <w:sz w:val="28"/>
      <w:szCs w:val="20"/>
    </w:rPr>
  </w:style>
  <w:style w:type="paragraph" w:styleId="Heading3">
    <w:name w:val="heading 3"/>
    <w:basedOn w:val="Normal"/>
    <w:next w:val="Normal"/>
    <w:link w:val="Heading3Char"/>
    <w:uiPriority w:val="9"/>
    <w:semiHidden/>
    <w:unhideWhenUsed/>
    <w:qFormat/>
    <w:rsid w:val="00C21D7C"/>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514281"/>
    <w:rPr>
      <w:rFonts w:ascii="Lucida Grande" w:hAnsi="Lucida Grande"/>
      <w:sz w:val="18"/>
      <w:szCs w:val="18"/>
    </w:rPr>
  </w:style>
  <w:style w:type="paragraph" w:styleId="Header">
    <w:name w:val="header"/>
    <w:basedOn w:val="Normal"/>
    <w:link w:val="HeaderChar"/>
    <w:uiPriority w:val="99"/>
    <w:semiHidden/>
    <w:unhideWhenUsed/>
    <w:rsid w:val="005B65A0"/>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semiHidden/>
    <w:rsid w:val="005B65A0"/>
    <w:rPr>
      <w:sz w:val="24"/>
      <w:szCs w:val="24"/>
    </w:rPr>
  </w:style>
  <w:style w:type="paragraph" w:styleId="Footer">
    <w:name w:val="footer"/>
    <w:basedOn w:val="Normal"/>
    <w:link w:val="FooterChar"/>
    <w:uiPriority w:val="99"/>
    <w:unhideWhenUsed/>
    <w:rsid w:val="005B65A0"/>
    <w:pPr>
      <w:tabs>
        <w:tab w:val="center" w:pos="4320"/>
        <w:tab w:val="right" w:pos="8640"/>
      </w:tabs>
    </w:pPr>
    <w:rPr>
      <w:rFonts w:ascii="Cambria" w:hAnsi="Cambria"/>
      <w:sz w:val="24"/>
      <w:lang w:val="x-none" w:eastAsia="x-none"/>
    </w:rPr>
  </w:style>
  <w:style w:type="character" w:customStyle="1" w:styleId="FooterChar">
    <w:name w:val="Footer Char"/>
    <w:link w:val="Footer"/>
    <w:uiPriority w:val="99"/>
    <w:rsid w:val="005B65A0"/>
    <w:rPr>
      <w:sz w:val="24"/>
      <w:szCs w:val="24"/>
    </w:rPr>
  </w:style>
  <w:style w:type="paragraph" w:customStyle="1" w:styleId="Note">
    <w:name w:val="Note"/>
    <w:rsid w:val="0077724C"/>
    <w:rPr>
      <w:rFonts w:ascii="Arial" w:eastAsia="Times New Roman" w:hAnsi="Arial"/>
      <w:sz w:val="22"/>
    </w:rPr>
  </w:style>
  <w:style w:type="paragraph" w:customStyle="1" w:styleId="NormalParagraphStyle">
    <w:name w:val="NormalParagraphStyle"/>
    <w:basedOn w:val="Normal"/>
    <w:uiPriority w:val="99"/>
    <w:rsid w:val="00036DDE"/>
    <w:pPr>
      <w:autoSpaceDE w:val="0"/>
      <w:autoSpaceDN w:val="0"/>
      <w:adjustRightInd w:val="0"/>
      <w:spacing w:line="288" w:lineRule="auto"/>
      <w:textAlignment w:val="center"/>
    </w:pPr>
    <w:rPr>
      <w:rFonts w:ascii="Times New Roman" w:eastAsia="Calibri" w:hAnsi="Times New Roman"/>
      <w:color w:val="000000"/>
    </w:rPr>
  </w:style>
  <w:style w:type="character" w:customStyle="1" w:styleId="BasicParagraph">
    <w:name w:val="Basic Paragraph"/>
    <w:uiPriority w:val="99"/>
    <w:rsid w:val="00036DDE"/>
    <w:rPr>
      <w:rFonts w:ascii="Times New Roman" w:hAnsi="Times New Roman" w:cs="Times New Roman"/>
      <w:sz w:val="24"/>
      <w:szCs w:val="24"/>
    </w:rPr>
  </w:style>
  <w:style w:type="character" w:customStyle="1" w:styleId="1Heading">
    <w:name w:val="(1) Heading"/>
    <w:uiPriority w:val="99"/>
    <w:rsid w:val="00036DDE"/>
    <w:rPr>
      <w:rFonts w:ascii="Times New Roman" w:hAnsi="Times New Roman" w:cs="Times New Roman"/>
      <w:i/>
      <w:iCs/>
      <w:sz w:val="24"/>
      <w:szCs w:val="24"/>
    </w:rPr>
  </w:style>
  <w:style w:type="paragraph" w:styleId="ListParagraph">
    <w:name w:val="List Paragraph"/>
    <w:basedOn w:val="Normal"/>
    <w:uiPriority w:val="34"/>
    <w:qFormat/>
    <w:rsid w:val="00036DDE"/>
    <w:pPr>
      <w:spacing w:after="200" w:line="276" w:lineRule="auto"/>
      <w:ind w:left="720"/>
      <w:contextualSpacing/>
    </w:pPr>
    <w:rPr>
      <w:rFonts w:eastAsia="Times New Roman"/>
      <w:szCs w:val="22"/>
      <w:lang w:bidi="en-US"/>
    </w:rPr>
  </w:style>
  <w:style w:type="paragraph" w:styleId="PlainText">
    <w:name w:val="Plain Text"/>
    <w:basedOn w:val="Normal"/>
    <w:link w:val="PlainTextChar"/>
    <w:uiPriority w:val="99"/>
    <w:semiHidden/>
    <w:unhideWhenUsed/>
    <w:rsid w:val="00036DDE"/>
    <w:rPr>
      <w:rFonts w:ascii="Consolas" w:eastAsia="Calibri" w:hAnsi="Consolas"/>
      <w:sz w:val="21"/>
      <w:szCs w:val="21"/>
      <w:lang w:val="x-none" w:eastAsia="x-none"/>
    </w:rPr>
  </w:style>
  <w:style w:type="character" w:customStyle="1" w:styleId="PlainTextChar">
    <w:name w:val="Plain Text Char"/>
    <w:link w:val="PlainText"/>
    <w:uiPriority w:val="99"/>
    <w:semiHidden/>
    <w:rsid w:val="00036DDE"/>
    <w:rPr>
      <w:rFonts w:ascii="Consolas" w:eastAsia="Calibri" w:hAnsi="Consolas" w:cs="Times New Roman"/>
      <w:sz w:val="21"/>
      <w:szCs w:val="21"/>
    </w:rPr>
  </w:style>
  <w:style w:type="character" w:styleId="Hyperlink">
    <w:name w:val="Hyperlink"/>
    <w:rsid w:val="00FF50E0"/>
    <w:rPr>
      <w:color w:val="0000FF"/>
      <w:u w:val="single"/>
    </w:rPr>
  </w:style>
  <w:style w:type="paragraph" w:styleId="NormalWeb">
    <w:name w:val="Normal (Web)"/>
    <w:basedOn w:val="Normal"/>
    <w:uiPriority w:val="99"/>
    <w:rsid w:val="00A6547C"/>
    <w:pPr>
      <w:spacing w:before="100" w:beforeAutospacing="1" w:after="100" w:afterAutospacing="1"/>
    </w:pPr>
    <w:rPr>
      <w:rFonts w:ascii="Times New Roman" w:eastAsia="Times New Roman" w:hAnsi="Times New Roman"/>
    </w:rPr>
  </w:style>
  <w:style w:type="character" w:styleId="CommentReference">
    <w:name w:val="annotation reference"/>
    <w:uiPriority w:val="99"/>
    <w:semiHidden/>
    <w:unhideWhenUsed/>
    <w:rsid w:val="00394FBF"/>
    <w:rPr>
      <w:sz w:val="16"/>
      <w:szCs w:val="16"/>
    </w:rPr>
  </w:style>
  <w:style w:type="paragraph" w:styleId="CommentText">
    <w:name w:val="annotation text"/>
    <w:basedOn w:val="Normal"/>
    <w:link w:val="CommentTextChar"/>
    <w:uiPriority w:val="99"/>
    <w:semiHidden/>
    <w:unhideWhenUsed/>
    <w:rsid w:val="00394FBF"/>
    <w:pPr>
      <w:spacing w:after="200"/>
    </w:pPr>
    <w:rPr>
      <w:rFonts w:eastAsia="Calibri"/>
      <w:sz w:val="20"/>
      <w:szCs w:val="20"/>
      <w:lang w:val="x-none" w:eastAsia="x-none"/>
    </w:rPr>
  </w:style>
  <w:style w:type="character" w:customStyle="1" w:styleId="CommentTextChar">
    <w:name w:val="Comment Text Char"/>
    <w:link w:val="CommentText"/>
    <w:uiPriority w:val="99"/>
    <w:semiHidden/>
    <w:rsid w:val="00394FBF"/>
    <w:rPr>
      <w:rFonts w:ascii="Calibri" w:eastAsia="Calibri" w:hAnsi="Calibri" w:cs="Times New Roman"/>
    </w:rPr>
  </w:style>
  <w:style w:type="paragraph" w:styleId="BodyText">
    <w:name w:val="Body Text"/>
    <w:basedOn w:val="Normal"/>
    <w:link w:val="BodyTextChar"/>
    <w:rsid w:val="005053CE"/>
    <w:pPr>
      <w:widowControl w:val="0"/>
      <w:tabs>
        <w:tab w:val="left" w:pos="522"/>
        <w:tab w:val="left" w:pos="1008"/>
        <w:tab w:val="left" w:pos="1704"/>
        <w:tab w:val="left" w:pos="5040"/>
        <w:tab w:val="left" w:pos="9936"/>
      </w:tabs>
    </w:pPr>
    <w:rPr>
      <w:rFonts w:ascii="Arial" w:eastAsia="Times New Roman" w:hAnsi="Arial"/>
      <w:snapToGrid w:val="0"/>
      <w:sz w:val="20"/>
      <w:szCs w:val="20"/>
      <w:lang w:val="x-none" w:eastAsia="x-none"/>
    </w:rPr>
  </w:style>
  <w:style w:type="character" w:customStyle="1" w:styleId="BodyTextChar">
    <w:name w:val="Body Text Char"/>
    <w:link w:val="BodyText"/>
    <w:rsid w:val="005053CE"/>
    <w:rPr>
      <w:rFonts w:ascii="Arial" w:eastAsia="Times New Roman" w:hAnsi="Arial"/>
      <w:snapToGrid w:val="0"/>
    </w:rPr>
  </w:style>
  <w:style w:type="character" w:customStyle="1" w:styleId="Heading3Char">
    <w:name w:val="Heading 3 Char"/>
    <w:link w:val="Heading3"/>
    <w:uiPriority w:val="9"/>
    <w:semiHidden/>
    <w:rsid w:val="00C21D7C"/>
    <w:rPr>
      <w:rFonts w:ascii="Cambria" w:eastAsia="Times New Roman" w:hAnsi="Cambria" w:cs="Times New Roman"/>
      <w:b/>
      <w:bCs/>
      <w:sz w:val="26"/>
      <w:szCs w:val="26"/>
    </w:rPr>
  </w:style>
  <w:style w:type="character" w:customStyle="1" w:styleId="mw-headline">
    <w:name w:val="mw-headline"/>
    <w:basedOn w:val="DefaultParagraphFont"/>
    <w:rsid w:val="00C21D7C"/>
  </w:style>
  <w:style w:type="paragraph" w:styleId="CommentSubject">
    <w:name w:val="annotation subject"/>
    <w:basedOn w:val="CommentText"/>
    <w:next w:val="CommentText"/>
    <w:link w:val="CommentSubjectChar"/>
    <w:uiPriority w:val="99"/>
    <w:semiHidden/>
    <w:unhideWhenUsed/>
    <w:rsid w:val="00C21D7C"/>
    <w:pPr>
      <w:spacing w:after="0"/>
    </w:pPr>
    <w:rPr>
      <w:b/>
      <w:bCs/>
    </w:rPr>
  </w:style>
  <w:style w:type="character" w:customStyle="1" w:styleId="CommentSubjectChar">
    <w:name w:val="Comment Subject Char"/>
    <w:link w:val="CommentSubject"/>
    <w:uiPriority w:val="99"/>
    <w:semiHidden/>
    <w:rsid w:val="00C21D7C"/>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33566">
      <w:bodyDiv w:val="1"/>
      <w:marLeft w:val="0"/>
      <w:marRight w:val="0"/>
      <w:marTop w:val="0"/>
      <w:marBottom w:val="0"/>
      <w:divBdr>
        <w:top w:val="none" w:sz="0" w:space="0" w:color="auto"/>
        <w:left w:val="none" w:sz="0" w:space="0" w:color="auto"/>
        <w:bottom w:val="none" w:sz="0" w:space="0" w:color="auto"/>
        <w:right w:val="none" w:sz="0" w:space="0" w:color="auto"/>
      </w:divBdr>
    </w:div>
    <w:div w:id="881481140">
      <w:bodyDiv w:val="1"/>
      <w:marLeft w:val="0"/>
      <w:marRight w:val="0"/>
      <w:marTop w:val="0"/>
      <w:marBottom w:val="0"/>
      <w:divBdr>
        <w:top w:val="none" w:sz="0" w:space="0" w:color="auto"/>
        <w:left w:val="none" w:sz="0" w:space="0" w:color="auto"/>
        <w:bottom w:val="none" w:sz="0" w:space="0" w:color="auto"/>
        <w:right w:val="none" w:sz="0" w:space="0" w:color="auto"/>
      </w:divBdr>
    </w:div>
    <w:div w:id="1281304926">
      <w:bodyDiv w:val="1"/>
      <w:marLeft w:val="0"/>
      <w:marRight w:val="0"/>
      <w:marTop w:val="0"/>
      <w:marBottom w:val="0"/>
      <w:divBdr>
        <w:top w:val="none" w:sz="0" w:space="0" w:color="auto"/>
        <w:left w:val="none" w:sz="0" w:space="0" w:color="auto"/>
        <w:bottom w:val="none" w:sz="0" w:space="0" w:color="auto"/>
        <w:right w:val="none" w:sz="0" w:space="0" w:color="auto"/>
      </w:divBdr>
    </w:div>
    <w:div w:id="1311641156">
      <w:bodyDiv w:val="1"/>
      <w:marLeft w:val="0"/>
      <w:marRight w:val="0"/>
      <w:marTop w:val="0"/>
      <w:marBottom w:val="0"/>
      <w:divBdr>
        <w:top w:val="none" w:sz="0" w:space="0" w:color="auto"/>
        <w:left w:val="none" w:sz="0" w:space="0" w:color="auto"/>
        <w:bottom w:val="none" w:sz="0" w:space="0" w:color="auto"/>
        <w:right w:val="none" w:sz="0" w:space="0" w:color="auto"/>
      </w:divBdr>
      <w:divsChild>
        <w:div w:id="462428540">
          <w:marLeft w:val="0"/>
          <w:marRight w:val="0"/>
          <w:marTop w:val="0"/>
          <w:marBottom w:val="0"/>
          <w:divBdr>
            <w:top w:val="none" w:sz="0" w:space="0" w:color="auto"/>
            <w:left w:val="none" w:sz="0" w:space="0" w:color="auto"/>
            <w:bottom w:val="none" w:sz="0" w:space="0" w:color="auto"/>
            <w:right w:val="none" w:sz="0" w:space="0" w:color="auto"/>
          </w:divBdr>
        </w:div>
        <w:div w:id="798499664">
          <w:marLeft w:val="0"/>
          <w:marRight w:val="0"/>
          <w:marTop w:val="0"/>
          <w:marBottom w:val="0"/>
          <w:divBdr>
            <w:top w:val="none" w:sz="0" w:space="0" w:color="auto"/>
            <w:left w:val="none" w:sz="0" w:space="0" w:color="auto"/>
            <w:bottom w:val="none" w:sz="0" w:space="0" w:color="auto"/>
            <w:right w:val="none" w:sz="0" w:space="0" w:color="auto"/>
          </w:divBdr>
        </w:div>
        <w:div w:id="843781483">
          <w:marLeft w:val="0"/>
          <w:marRight w:val="0"/>
          <w:marTop w:val="0"/>
          <w:marBottom w:val="0"/>
          <w:divBdr>
            <w:top w:val="none" w:sz="0" w:space="0" w:color="auto"/>
            <w:left w:val="none" w:sz="0" w:space="0" w:color="auto"/>
            <w:bottom w:val="none" w:sz="0" w:space="0" w:color="auto"/>
            <w:right w:val="none" w:sz="0" w:space="0" w:color="auto"/>
          </w:divBdr>
        </w:div>
        <w:div w:id="1791245763">
          <w:marLeft w:val="0"/>
          <w:marRight w:val="0"/>
          <w:marTop w:val="0"/>
          <w:marBottom w:val="0"/>
          <w:divBdr>
            <w:top w:val="none" w:sz="0" w:space="0" w:color="auto"/>
            <w:left w:val="none" w:sz="0" w:space="0" w:color="auto"/>
            <w:bottom w:val="none" w:sz="0" w:space="0" w:color="auto"/>
            <w:right w:val="none" w:sz="0" w:space="0" w:color="auto"/>
          </w:divBdr>
        </w:div>
        <w:div w:id="1968462178">
          <w:marLeft w:val="0"/>
          <w:marRight w:val="0"/>
          <w:marTop w:val="0"/>
          <w:marBottom w:val="0"/>
          <w:divBdr>
            <w:top w:val="none" w:sz="0" w:space="0" w:color="auto"/>
            <w:left w:val="none" w:sz="0" w:space="0" w:color="auto"/>
            <w:bottom w:val="none" w:sz="0" w:space="0" w:color="auto"/>
            <w:right w:val="none" w:sz="0" w:space="0" w:color="auto"/>
          </w:divBdr>
        </w:div>
      </w:divsChild>
    </w:div>
    <w:div w:id="1431001855">
      <w:bodyDiv w:val="1"/>
      <w:marLeft w:val="0"/>
      <w:marRight w:val="0"/>
      <w:marTop w:val="0"/>
      <w:marBottom w:val="0"/>
      <w:divBdr>
        <w:top w:val="none" w:sz="0" w:space="0" w:color="auto"/>
        <w:left w:val="none" w:sz="0" w:space="0" w:color="auto"/>
        <w:bottom w:val="none" w:sz="0" w:space="0" w:color="auto"/>
        <w:right w:val="none" w:sz="0" w:space="0" w:color="auto"/>
      </w:divBdr>
    </w:div>
    <w:div w:id="1507553369">
      <w:bodyDiv w:val="1"/>
      <w:marLeft w:val="0"/>
      <w:marRight w:val="0"/>
      <w:marTop w:val="0"/>
      <w:marBottom w:val="0"/>
      <w:divBdr>
        <w:top w:val="none" w:sz="0" w:space="0" w:color="auto"/>
        <w:left w:val="none" w:sz="0" w:space="0" w:color="auto"/>
        <w:bottom w:val="none" w:sz="0" w:space="0" w:color="auto"/>
        <w:right w:val="none" w:sz="0" w:space="0" w:color="auto"/>
      </w:divBdr>
    </w:div>
    <w:div w:id="1694304970">
      <w:bodyDiv w:val="1"/>
      <w:marLeft w:val="0"/>
      <w:marRight w:val="0"/>
      <w:marTop w:val="0"/>
      <w:marBottom w:val="0"/>
      <w:divBdr>
        <w:top w:val="none" w:sz="0" w:space="0" w:color="auto"/>
        <w:left w:val="none" w:sz="0" w:space="0" w:color="auto"/>
        <w:bottom w:val="none" w:sz="0" w:space="0" w:color="auto"/>
        <w:right w:val="none" w:sz="0" w:space="0" w:color="auto"/>
      </w:divBdr>
    </w:div>
    <w:div w:id="19015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1617</Words>
  <Characters>9221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Proposal to Deep Root from Kestrel Design</vt:lpstr>
    </vt:vector>
  </TitlesOfParts>
  <Company>christiansen : creative</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Deep Root from Kestrel Design</dc:title>
  <dc:creator>David MacDonald</dc:creator>
  <cp:lastModifiedBy>Trojan, Mike</cp:lastModifiedBy>
  <cp:revision>2</cp:revision>
  <cp:lastPrinted>2013-07-23T15:37:00Z</cp:lastPrinted>
  <dcterms:created xsi:type="dcterms:W3CDTF">2013-11-26T17:22:00Z</dcterms:created>
  <dcterms:modified xsi:type="dcterms:W3CDTF">2013-11-26T17:22:00Z</dcterms:modified>
</cp:coreProperties>
</file>