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0B" w:rsidRDefault="00DF2C24">
      <w:r>
        <w:t>The MPCA conducted a review of pollutant removal credits for total suspended solids (TSS) and phosphorus. The objective was to evaluate existing credits</w:t>
      </w:r>
      <w:r w:rsidR="00E620C1">
        <w:t xml:space="preserve"> </w:t>
      </w:r>
      <w:r>
        <w:t xml:space="preserve">in the Minnesota </w:t>
      </w:r>
      <w:proofErr w:type="spellStart"/>
      <w:r>
        <w:t>Stormwater</w:t>
      </w:r>
      <w:proofErr w:type="spellEnd"/>
      <w:r>
        <w:t xml:space="preserve"> Manual and the Minimal Impact Design Standards calculator and determine if the credits needed adjusting.</w:t>
      </w:r>
      <w:r w:rsidR="00E620C1">
        <w:t xml:space="preserve"> The BMPs examined were </w:t>
      </w:r>
      <w:proofErr w:type="spellStart"/>
      <w:r w:rsidR="00517C36">
        <w:t>biofiltration</w:t>
      </w:r>
      <w:proofErr w:type="spellEnd"/>
      <w:r w:rsidR="00517C36">
        <w:t xml:space="preserve"> (</w:t>
      </w:r>
      <w:proofErr w:type="spellStart"/>
      <w:r w:rsidR="00517C36">
        <w:t>bioretention</w:t>
      </w:r>
      <w:proofErr w:type="spellEnd"/>
      <w:r w:rsidR="00517C36">
        <w:t xml:space="preserve"> with underdrain), </w:t>
      </w:r>
      <w:r w:rsidR="00E620C1">
        <w:t xml:space="preserve">constructed </w:t>
      </w:r>
      <w:proofErr w:type="spellStart"/>
      <w:r w:rsidR="00E620C1">
        <w:t>stormwater</w:t>
      </w:r>
      <w:proofErr w:type="spellEnd"/>
      <w:r w:rsidR="00E620C1">
        <w:t xml:space="preserve"> wetland, sand filter, permeable pavement (with underdrain), </w:t>
      </w:r>
      <w:r w:rsidR="00653D59">
        <w:t>and swale.</w:t>
      </w:r>
    </w:p>
    <w:p w:rsidR="00DF2C24" w:rsidRDefault="00DF2C24"/>
    <w:p w:rsidR="00D07818" w:rsidRDefault="00D07818">
      <w:r>
        <w:t>We reviewed the following data sources.</w:t>
      </w:r>
    </w:p>
    <w:p w:rsidR="00DF2C24" w:rsidRDefault="001019D5" w:rsidP="001019D5">
      <w:pPr>
        <w:pStyle w:val="ListParagraph"/>
        <w:numPr>
          <w:ilvl w:val="0"/>
          <w:numId w:val="1"/>
        </w:numPr>
      </w:pPr>
      <w:r>
        <w:t>[</w:t>
      </w:r>
      <w:r w:rsidRPr="001019D5">
        <w:t>http://www.deq.virginia.gov/Portals/0/DEQ/Water/Guidance/152005.pdf</w:t>
      </w:r>
      <w:r>
        <w:t xml:space="preserve"> Chesapeake Bay Established Efficiency table]</w:t>
      </w:r>
    </w:p>
    <w:p w:rsidR="001019D5" w:rsidRDefault="001019D5" w:rsidP="001019D5">
      <w:pPr>
        <w:pStyle w:val="ListParagraph"/>
        <w:numPr>
          <w:ilvl w:val="0"/>
          <w:numId w:val="1"/>
        </w:numPr>
      </w:pPr>
      <w:r>
        <w:t>[</w:t>
      </w:r>
      <w:r w:rsidRPr="001019D5">
        <w:t>http://www.vwrrc.vt.edu/swc/NonProprietaryBMPs.html</w:t>
      </w:r>
      <w:r>
        <w:t xml:space="preserve"> Virginia </w:t>
      </w:r>
      <w:proofErr w:type="spellStart"/>
      <w:r>
        <w:t>Stormwater</w:t>
      </w:r>
      <w:proofErr w:type="spellEnd"/>
      <w:r>
        <w:t xml:space="preserve"> BMP Clearinghouse]</w:t>
      </w:r>
    </w:p>
    <w:p w:rsidR="001019D5" w:rsidRDefault="001019D5" w:rsidP="001019D5">
      <w:pPr>
        <w:pStyle w:val="ListParagraph"/>
        <w:numPr>
          <w:ilvl w:val="0"/>
          <w:numId w:val="1"/>
        </w:numPr>
      </w:pPr>
      <w:r>
        <w:t>[</w:t>
      </w:r>
      <w:r w:rsidRPr="001019D5">
        <w:t>https://ncdenr.s3.amazonaws.com/s3fs-public/Energy%20Mineral%20and%20Land%20Resources/Stormwater/State%20Stormwater%20Permits/SSW%20Forms/SSW-SCM-Credit-Doc-20170511.pdf</w:t>
      </w:r>
      <w:r>
        <w:t xml:space="preserve"> North Carolina </w:t>
      </w:r>
      <w:proofErr w:type="spellStart"/>
      <w:r>
        <w:t>Stormwater</w:t>
      </w:r>
      <w:proofErr w:type="spellEnd"/>
      <w:r>
        <w:t xml:space="preserve"> Control Measure Credit Document]</w:t>
      </w:r>
    </w:p>
    <w:p w:rsidR="001019D5" w:rsidRDefault="001019D5" w:rsidP="001019D5">
      <w:pPr>
        <w:pStyle w:val="ListParagraph"/>
        <w:numPr>
          <w:ilvl w:val="0"/>
          <w:numId w:val="1"/>
        </w:numPr>
      </w:pPr>
      <w:r>
        <w:t>[</w:t>
      </w:r>
      <w:r w:rsidRPr="001019D5">
        <w:t>http://www.bmpdatabase.org/Docs/2014%20Water%20Quality%20Analysis%20Addendum/BMP%20Database%20Categorical_StatisticalSummaryReport_December2014.pdf</w:t>
      </w:r>
      <w:r>
        <w:t xml:space="preserve"> 2014 International </w:t>
      </w:r>
      <w:proofErr w:type="spellStart"/>
      <w:r>
        <w:t>Stormwater</w:t>
      </w:r>
      <w:proofErr w:type="spellEnd"/>
      <w:r>
        <w:t xml:space="preserve"> BMP Database]</w:t>
      </w:r>
    </w:p>
    <w:p w:rsidR="001019D5" w:rsidRDefault="001019D5" w:rsidP="001019D5">
      <w:pPr>
        <w:pStyle w:val="ListParagraph"/>
        <w:numPr>
          <w:ilvl w:val="0"/>
          <w:numId w:val="1"/>
        </w:numPr>
      </w:pPr>
      <w:r>
        <w:t>[</w:t>
      </w:r>
      <w:r w:rsidRPr="001019D5">
        <w:t>http://owl.cwp.org/mdocs-posts/fraley-mcneall-_national_pollutant_removal_perf_v3/</w:t>
      </w:r>
      <w:r>
        <w:t xml:space="preserve"> Center for Watershed Protection National Pollutant Removal Performance Database – Version 3]</w:t>
      </w:r>
    </w:p>
    <w:p w:rsidR="001019D5" w:rsidRDefault="001019D5" w:rsidP="001019D5"/>
    <w:p w:rsidR="001019D5" w:rsidRDefault="009D7D4F" w:rsidP="001019D5">
      <w:r>
        <w:t>The following table summarizes the results. To access the date table used to generate the summary information, click here.</w:t>
      </w:r>
    </w:p>
    <w:p w:rsidR="009D7D4F" w:rsidRDefault="009D7D4F" w:rsidP="001019D5"/>
    <w:tbl>
      <w:tblPr>
        <w:tblW w:w="10566" w:type="dxa"/>
        <w:tblInd w:w="113" w:type="dxa"/>
        <w:tblLook w:val="04A0" w:firstRow="1" w:lastRow="0" w:firstColumn="1" w:lastColumn="0" w:noHBand="0" w:noVBand="1"/>
      </w:tblPr>
      <w:tblGrid>
        <w:gridCol w:w="1057"/>
        <w:gridCol w:w="3055"/>
        <w:gridCol w:w="1374"/>
        <w:gridCol w:w="1002"/>
        <w:gridCol w:w="1060"/>
        <w:gridCol w:w="1258"/>
        <w:gridCol w:w="1760"/>
      </w:tblGrid>
      <w:tr w:rsidR="009D7D4F" w:rsidRPr="009D7D4F" w:rsidTr="00517238">
        <w:trPr>
          <w:trHeight w:val="30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4F" w:rsidRPr="009D7D4F" w:rsidRDefault="009D7D4F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000000"/>
              </w:rPr>
              <w:t>Pollutant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4F" w:rsidRPr="009D7D4F" w:rsidRDefault="009D7D4F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000000"/>
              </w:rPr>
              <w:t>Source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4F" w:rsidRPr="009D7D4F" w:rsidRDefault="009D7D4F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D7D4F">
              <w:rPr>
                <w:rFonts w:ascii="Calibri" w:eastAsia="Times New Roman" w:hAnsi="Calibri" w:cs="Times New Roman"/>
                <w:b/>
                <w:bCs/>
                <w:color w:val="000000"/>
              </w:rPr>
              <w:t>Bioretention</w:t>
            </w:r>
            <w:proofErr w:type="spellEnd"/>
            <w:r w:rsidR="006059C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(underdrain)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4F" w:rsidRPr="009D7D4F" w:rsidRDefault="009D7D4F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000000"/>
              </w:rPr>
              <w:t>Wetland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4F" w:rsidRPr="009D7D4F" w:rsidRDefault="009D7D4F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000000"/>
              </w:rPr>
              <w:t>Sand filter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4F" w:rsidRPr="009D7D4F" w:rsidRDefault="009D7D4F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ermeable p</w:t>
            </w:r>
            <w:r w:rsidRPr="009D7D4F">
              <w:rPr>
                <w:rFonts w:ascii="Calibri" w:eastAsia="Times New Roman" w:hAnsi="Calibri" w:cs="Times New Roman"/>
                <w:b/>
                <w:bCs/>
                <w:color w:val="000000"/>
              </w:rPr>
              <w:t>avement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4F" w:rsidRPr="009D7D4F" w:rsidRDefault="009D7D4F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Swale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with </w:t>
            </w:r>
            <w:r w:rsidRPr="009D7D4F">
              <w:rPr>
                <w:rFonts w:ascii="Calibri" w:eastAsia="Times New Roman" w:hAnsi="Calibri" w:cs="Times New Roman"/>
                <w:b/>
                <w:bCs/>
                <w:color w:val="000000"/>
              </w:rPr>
              <w:t>underdrain</w:t>
            </w:r>
          </w:p>
        </w:tc>
      </w:tr>
      <w:tr w:rsidR="00517238" w:rsidRPr="009D7D4F" w:rsidTr="00517238">
        <w:trPr>
          <w:trHeight w:val="300"/>
        </w:trPr>
        <w:tc>
          <w:tcPr>
            <w:tcW w:w="105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TSS</w:t>
            </w:r>
          </w:p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5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Minnesota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Stormwater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Manual</w:t>
            </w:r>
          </w:p>
        </w:tc>
        <w:tc>
          <w:tcPr>
            <w:tcW w:w="13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0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0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2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7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</w:tr>
      <w:tr w:rsidR="00517238" w:rsidRPr="009D7D4F" w:rsidTr="00517238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MIDS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calculator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</w:tr>
      <w:tr w:rsidR="00517238" w:rsidRPr="009D7D4F" w:rsidTr="00517238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Virginia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7238" w:rsidRPr="009D7D4F" w:rsidTr="00517238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Virginia Level 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7238" w:rsidRPr="009D7D4F" w:rsidTr="00517238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Virgin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9D7D4F">
              <w:rPr>
                <w:rFonts w:ascii="Calibri" w:eastAsia="Times New Roman" w:hAnsi="Calibri" w:cs="Times New Roman"/>
                <w:color w:val="000000"/>
              </w:rPr>
              <w:t>a Level 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7238" w:rsidRPr="009D7D4F" w:rsidTr="00517238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North Carolina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-130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7238" w:rsidRPr="009D7D4F" w:rsidTr="00517238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6059C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Int</w:t>
            </w:r>
            <w:r>
              <w:rPr>
                <w:rFonts w:ascii="Calibri" w:eastAsia="Times New Roman" w:hAnsi="Calibri" w:cs="Times New Roman"/>
                <w:color w:val="000000"/>
              </w:rPr>
              <w:t>ernationa</w:t>
            </w:r>
            <w:r w:rsidRPr="009D7D4F">
              <w:rPr>
                <w:rFonts w:ascii="Calibri" w:eastAsia="Times New Roman" w:hAnsi="Calibri" w:cs="Times New Roman"/>
                <w:color w:val="000000"/>
              </w:rPr>
              <w:t>l BMP database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517238" w:rsidRPr="009D7D4F" w:rsidTr="00517238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6059C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>enter Watershed Protection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7238" w:rsidRPr="009D7D4F" w:rsidTr="00517238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Median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61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84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72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68</w:t>
            </w:r>
          </w:p>
        </w:tc>
      </w:tr>
      <w:tr w:rsidR="00517238" w:rsidRPr="009D7D4F" w:rsidTr="000B3056">
        <w:trPr>
          <w:trHeight w:val="300"/>
        </w:trPr>
        <w:tc>
          <w:tcPr>
            <w:tcW w:w="105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TP</w:t>
            </w:r>
          </w:p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5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Minnesota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Stormwater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Manual</w:t>
            </w:r>
          </w:p>
        </w:tc>
        <w:tc>
          <w:tcPr>
            <w:tcW w:w="137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comparison made. Values in MN manual depend on multiple factors.</w:t>
            </w:r>
          </w:p>
        </w:tc>
        <w:tc>
          <w:tcPr>
            <w:tcW w:w="10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7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517238" w:rsidRPr="009D7D4F" w:rsidTr="000B3056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MIDS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calculator</w:t>
            </w:r>
          </w:p>
        </w:tc>
        <w:tc>
          <w:tcPr>
            <w:tcW w:w="1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517238" w:rsidRPr="009D7D4F" w:rsidTr="000B3056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Virginia</w:t>
            </w:r>
          </w:p>
        </w:tc>
        <w:tc>
          <w:tcPr>
            <w:tcW w:w="1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7238" w:rsidRPr="009D7D4F" w:rsidTr="000B3056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Virginia Level 1</w:t>
            </w:r>
          </w:p>
        </w:tc>
        <w:tc>
          <w:tcPr>
            <w:tcW w:w="1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517238" w:rsidRPr="009D7D4F" w:rsidTr="000B3056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Virgin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9D7D4F">
              <w:rPr>
                <w:rFonts w:ascii="Calibri" w:eastAsia="Times New Roman" w:hAnsi="Calibri" w:cs="Times New Roman"/>
                <w:color w:val="000000"/>
              </w:rPr>
              <w:t>a Level 2</w:t>
            </w:r>
          </w:p>
        </w:tc>
        <w:tc>
          <w:tcPr>
            <w:tcW w:w="1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</w:tr>
      <w:tr w:rsidR="00517238" w:rsidRPr="009D7D4F" w:rsidTr="000B3056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North Carolina</w:t>
            </w:r>
          </w:p>
        </w:tc>
        <w:tc>
          <w:tcPr>
            <w:tcW w:w="1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7238" w:rsidRPr="009D7D4F" w:rsidTr="000B3056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6059C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Int</w:t>
            </w:r>
            <w:r>
              <w:rPr>
                <w:rFonts w:ascii="Calibri" w:eastAsia="Times New Roman" w:hAnsi="Calibri" w:cs="Times New Roman"/>
                <w:color w:val="000000"/>
              </w:rPr>
              <w:t>ernationa</w:t>
            </w:r>
            <w:r w:rsidRPr="009D7D4F">
              <w:rPr>
                <w:rFonts w:ascii="Calibri" w:eastAsia="Times New Roman" w:hAnsi="Calibri" w:cs="Times New Roman"/>
                <w:color w:val="000000"/>
              </w:rPr>
              <w:t>l BMP database</w:t>
            </w:r>
          </w:p>
        </w:tc>
        <w:tc>
          <w:tcPr>
            <w:tcW w:w="1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-55</w:t>
            </w:r>
          </w:p>
        </w:tc>
      </w:tr>
      <w:tr w:rsidR="00517238" w:rsidRPr="009D7D4F" w:rsidTr="000B3056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6059C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>enter Watershed Protection</w:t>
            </w:r>
          </w:p>
        </w:tc>
        <w:tc>
          <w:tcPr>
            <w:tcW w:w="1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7D4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7238" w:rsidRPr="009D7D4F" w:rsidTr="000B3056">
        <w:trPr>
          <w:trHeight w:val="300"/>
        </w:trPr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Median</w:t>
            </w: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47.5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54.5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238" w:rsidRPr="009D7D4F" w:rsidRDefault="00517238" w:rsidP="009D7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7D4F">
              <w:rPr>
                <w:rFonts w:ascii="Calibri" w:eastAsia="Times New Roman" w:hAnsi="Calibri" w:cs="Times New Roman"/>
                <w:b/>
                <w:bCs/>
                <w:color w:val="FF0000"/>
              </w:rPr>
              <w:t>20</w:t>
            </w:r>
          </w:p>
        </w:tc>
      </w:tr>
    </w:tbl>
    <w:p w:rsidR="009D7D4F" w:rsidRDefault="009D7D4F" w:rsidP="001019D5"/>
    <w:p w:rsidR="009D7D4F" w:rsidRDefault="00517238" w:rsidP="001019D5">
      <w:bookmarkStart w:id="0" w:name="_GoBack"/>
      <w:r>
        <w:t xml:space="preserve">The data indicate the Minnesota </w:t>
      </w:r>
      <w:proofErr w:type="spellStart"/>
      <w:r>
        <w:t>Stormwater</w:t>
      </w:r>
      <w:proofErr w:type="spellEnd"/>
      <w:r>
        <w:t xml:space="preserve"> Manual reasonably agrees with values from the other sources with the exception </w:t>
      </w:r>
      <w:r w:rsidR="00A012C4">
        <w:t xml:space="preserve">of TSS in </w:t>
      </w:r>
      <w:proofErr w:type="spellStart"/>
      <w:r w:rsidR="00A012C4">
        <w:t>biofiltration</w:t>
      </w:r>
      <w:proofErr w:type="spellEnd"/>
      <w:r w:rsidR="00A012C4">
        <w:t xml:space="preserve"> BMPs. The Construction </w:t>
      </w:r>
      <w:proofErr w:type="spellStart"/>
      <w:r w:rsidR="00A012C4">
        <w:t>Stormwater</w:t>
      </w:r>
      <w:proofErr w:type="spellEnd"/>
      <w:r w:rsidR="00A012C4">
        <w:t xml:space="preserve"> General Permit states that filtration systems </w:t>
      </w:r>
      <w:proofErr w:type="gramStart"/>
      <w:r w:rsidR="00A012C4">
        <w:t>must be designed</w:t>
      </w:r>
      <w:proofErr w:type="gramEnd"/>
      <w:r w:rsidR="00A012C4">
        <w:t xml:space="preserve"> to remove at least 80 of TSS. Consequently, the removal percentage for </w:t>
      </w:r>
      <w:proofErr w:type="spellStart"/>
      <w:r w:rsidR="00A012C4">
        <w:t>biofiltration</w:t>
      </w:r>
      <w:proofErr w:type="spellEnd"/>
      <w:r w:rsidR="00A012C4">
        <w:t xml:space="preserve"> practices must be at least 80 percent. We thus lowered the TSS credit for </w:t>
      </w:r>
      <w:proofErr w:type="spellStart"/>
      <w:r w:rsidR="00A012C4">
        <w:t>biofiltration</w:t>
      </w:r>
      <w:proofErr w:type="spellEnd"/>
      <w:r w:rsidR="00A012C4">
        <w:t xml:space="preserve"> to 80 percent. </w:t>
      </w:r>
      <w:proofErr w:type="spellStart"/>
      <w:r w:rsidR="00A012C4">
        <w:t>Biofiltration</w:t>
      </w:r>
      <w:proofErr w:type="spellEnd"/>
      <w:r w:rsidR="00A012C4">
        <w:t xml:space="preserve"> practices include tree trenches and tree boxes.</w:t>
      </w:r>
      <w:bookmarkEnd w:id="0"/>
    </w:p>
    <w:sectPr w:rsidR="009D7D4F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177EE"/>
    <w:multiLevelType w:val="hybridMultilevel"/>
    <w:tmpl w:val="4BF432C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24"/>
    <w:rsid w:val="001019D5"/>
    <w:rsid w:val="00430ED3"/>
    <w:rsid w:val="00517238"/>
    <w:rsid w:val="00517C36"/>
    <w:rsid w:val="006059C0"/>
    <w:rsid w:val="00653D59"/>
    <w:rsid w:val="007952FA"/>
    <w:rsid w:val="008F5FD6"/>
    <w:rsid w:val="009D7D4F"/>
    <w:rsid w:val="00A012C4"/>
    <w:rsid w:val="00CA0C0B"/>
    <w:rsid w:val="00D07818"/>
    <w:rsid w:val="00DF2C24"/>
    <w:rsid w:val="00E6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1BE5"/>
  <w15:chartTrackingRefBased/>
  <w15:docId w15:val="{EE683416-63A4-4571-BA7B-4AE8436C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Trojan, Mike (MPCA)</dc:creator>
  <cp:keywords/>
  <dc:description/>
  <cp:lastModifiedBy>Trojan, Mike (MPCA)</cp:lastModifiedBy>
  <cp:revision>3</cp:revision>
  <dcterms:created xsi:type="dcterms:W3CDTF">2017-07-06T12:08:00Z</dcterms:created>
  <dcterms:modified xsi:type="dcterms:W3CDTF">2017-07-14T17:22:00Z</dcterms:modified>
</cp:coreProperties>
</file>