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074570" w14:textId="77777777" w:rsidR="00C45E61" w:rsidRPr="00C45E61" w:rsidRDefault="001B70F8" w:rsidP="00C45E61">
      <w:pPr>
        <w:pStyle w:val="LFTHeading1"/>
      </w:pPr>
      <w:bookmarkStart w:id="0" w:name="_GoBack"/>
      <w:bookmarkEnd w:id="0"/>
      <w:r w:rsidRPr="007C1D3F">
        <w:t xml:space="preserve">Section </w:t>
      </w:r>
      <w:r w:rsidR="00E06FCC">
        <w:t>2</w:t>
      </w:r>
      <w:r w:rsidRPr="007C1D3F">
        <w:t> </w:t>
      </w:r>
      <w:r w:rsidRPr="007C1D3F">
        <w:br/>
      </w:r>
      <w:r w:rsidR="00E06FCC">
        <w:t>Constraints on Stormwater Infiltration</w:t>
      </w:r>
    </w:p>
    <w:p w14:paraId="02FF8E5E" w14:textId="6910773A" w:rsidR="00E06FCC" w:rsidRPr="002D216D" w:rsidRDefault="00E06FCC" w:rsidP="006B4887">
      <w:pPr>
        <w:pStyle w:val="LFTBody"/>
      </w:pPr>
      <w:r w:rsidRPr="002D216D">
        <w:t xml:space="preserve">Several </w:t>
      </w:r>
      <w:r>
        <w:t>conditions</w:t>
      </w:r>
      <w:r w:rsidRPr="002D216D">
        <w:t xml:space="preserve"> can </w:t>
      </w:r>
      <w:r>
        <w:t xml:space="preserve">constrain </w:t>
      </w:r>
      <w:r w:rsidRPr="002D216D">
        <w:t xml:space="preserve">the </w:t>
      </w:r>
      <w:r w:rsidR="00980272">
        <w:t>suitability</w:t>
      </w:r>
      <w:r>
        <w:t>, sizing, and/or location</w:t>
      </w:r>
      <w:r w:rsidRPr="002D216D">
        <w:t xml:space="preserve"> of an infiltration BMP at a particular site. </w:t>
      </w:r>
      <w:r>
        <w:t>Conditions</w:t>
      </w:r>
      <w:r w:rsidRPr="002D216D">
        <w:t xml:space="preserve"> </w:t>
      </w:r>
      <w:r>
        <w:t xml:space="preserve">may </w:t>
      </w:r>
      <w:r w:rsidRPr="002D216D">
        <w:t>include geologic and hydrogeologic features, location to nearby drinking water sources, presence of contaminated soils/groundwater, and the likelihood of potential stormwater hotspots (PSHs)</w:t>
      </w:r>
      <w:r>
        <w:t>, among others described in the following section</w:t>
      </w:r>
      <w:r w:rsidRPr="002D216D">
        <w:t xml:space="preserve">. </w:t>
      </w:r>
      <w:r w:rsidR="009C7BED">
        <w:t>This discussion does not include constraints associated with limited space, local ordinance restrictions, or utilities.</w:t>
      </w:r>
    </w:p>
    <w:p w14:paraId="210553DD" w14:textId="77777777" w:rsidR="00C45E61" w:rsidRPr="00C45E61" w:rsidRDefault="00E06FCC" w:rsidP="00C45E61">
      <w:pPr>
        <w:pStyle w:val="LFTHeading2"/>
      </w:pPr>
      <w:r>
        <w:t>2</w:t>
      </w:r>
      <w:r w:rsidR="00C45E61" w:rsidRPr="00C45E61">
        <w:t xml:space="preserve">.1 </w:t>
      </w:r>
      <w:r>
        <w:t>Horizontal and Vertical Separation</w:t>
      </w:r>
    </w:p>
    <w:p w14:paraId="646F031A" w14:textId="5352F6DA" w:rsidR="00EE6C34" w:rsidRDefault="009C7BED" w:rsidP="006B4887">
      <w:pPr>
        <w:pStyle w:val="LFTBody"/>
      </w:pPr>
      <w:bookmarkStart w:id="1" w:name="_Section_1"/>
      <w:bookmarkEnd w:id="1"/>
      <w:r>
        <w:t>Separation distance is defined as the distance from the closest point of a BMP to the particular feature being considered</w:t>
      </w:r>
      <w:r w:rsidR="00217E18">
        <w:t xml:space="preserve">. </w:t>
      </w:r>
      <w:r w:rsidR="00E06FCC">
        <w:t>Recommended and REQUIRED separation distances for infiltra</w:t>
      </w:r>
      <w:r w:rsidR="00527EF8">
        <w:t xml:space="preserve">tion BMPs are shown in </w:t>
      </w:r>
      <w:r w:rsidR="00527EF8" w:rsidRPr="00527EF8">
        <w:rPr>
          <w:b/>
        </w:rPr>
        <w:t>Figure 2.</w:t>
      </w:r>
      <w:r w:rsidR="00E06FCC" w:rsidRPr="00527EF8">
        <w:rPr>
          <w:b/>
        </w:rPr>
        <w:t>1</w:t>
      </w:r>
      <w:r w:rsidR="00E06FCC">
        <w:t xml:space="preserve"> and discussed below. Specific information</w:t>
      </w:r>
      <w:r w:rsidR="00C97C48">
        <w:t xml:space="preserve"> on separation distances</w:t>
      </w:r>
      <w:r w:rsidR="00E06FCC">
        <w:t xml:space="preserve"> can be found on each </w:t>
      </w:r>
      <w:r w:rsidR="000F572C">
        <w:t xml:space="preserve">individual </w:t>
      </w:r>
      <w:r w:rsidR="00E06FCC">
        <w:t xml:space="preserve">BMP page. Note that all REQUIRED statements in this section refer to requirements contained in the </w:t>
      </w:r>
      <w:hyperlink r:id="rId11" w:history="1">
        <w:r w:rsidR="00E06FCC" w:rsidRPr="006B4887">
          <w:rPr>
            <w:rStyle w:val="Hyperlink"/>
          </w:rPr>
          <w:t>NPDES/SDS Construction Stormwater (CSW) General Permit</w:t>
        </w:r>
      </w:hyperlink>
      <w:r w:rsidR="00980272">
        <w:rPr>
          <w:rStyle w:val="Hyperlink"/>
        </w:rPr>
        <w:t xml:space="preserve"> (CGP)</w:t>
      </w:r>
      <w:r w:rsidR="00E06FCC">
        <w:t>.</w:t>
      </w:r>
    </w:p>
    <w:p w14:paraId="1F246F37" w14:textId="6A46408E" w:rsidR="00B57DEC" w:rsidRDefault="00474D97" w:rsidP="006B4887">
      <w:pPr>
        <w:pStyle w:val="LFTBody"/>
      </w:pPr>
      <w:r>
        <w:rPr>
          <w:noProof/>
          <w:lang w:bidi="ar-SA"/>
        </w:rPr>
        <w:drawing>
          <wp:inline distT="0" distB="0" distL="0" distR="0" wp14:anchorId="24277B47" wp14:editId="078FF1FE">
            <wp:extent cx="5824855" cy="4417695"/>
            <wp:effectExtent l="0" t="0" r="444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s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4855" cy="4417695"/>
                    </a:xfrm>
                    <a:prstGeom prst="rect">
                      <a:avLst/>
                    </a:prstGeom>
                  </pic:spPr>
                </pic:pic>
              </a:graphicData>
            </a:graphic>
          </wp:inline>
        </w:drawing>
      </w:r>
    </w:p>
    <w:p w14:paraId="5D74ACC1" w14:textId="1463B46E" w:rsidR="00B57DEC" w:rsidRPr="00B26137" w:rsidRDefault="00B57DEC" w:rsidP="006B4887">
      <w:pPr>
        <w:pStyle w:val="LFTBody"/>
        <w:rPr>
          <w:rFonts w:asciiTheme="majorHAnsi" w:hAnsiTheme="majorHAnsi"/>
        </w:rPr>
      </w:pPr>
      <w:r w:rsidRPr="00B26137">
        <w:rPr>
          <w:rFonts w:asciiTheme="majorHAnsi" w:hAnsiTheme="majorHAnsi"/>
          <w:b/>
        </w:rPr>
        <w:t>Figure 2.1 Horizontal and vertical separation distances of infiltration BMPs</w:t>
      </w:r>
      <w:r w:rsidRPr="00B26137">
        <w:rPr>
          <w:rFonts w:asciiTheme="majorHAnsi" w:hAnsiTheme="majorHAnsi"/>
        </w:rPr>
        <w:t xml:space="preserve"> (</w:t>
      </w:r>
      <w:r w:rsidR="0050751D">
        <w:rPr>
          <w:rFonts w:asciiTheme="majorHAnsi" w:hAnsiTheme="majorHAnsi"/>
        </w:rPr>
        <w:t>Source:</w:t>
      </w:r>
      <w:r w:rsidRPr="00B26137">
        <w:rPr>
          <w:rFonts w:asciiTheme="majorHAnsi" w:hAnsiTheme="majorHAnsi"/>
        </w:rPr>
        <w:t xml:space="preserve"> CDM Smith)</w:t>
      </w:r>
    </w:p>
    <w:p w14:paraId="11D6E7AC" w14:textId="77777777" w:rsidR="00C45E61" w:rsidRDefault="00E06FCC" w:rsidP="00E01D34">
      <w:pPr>
        <w:pStyle w:val="LFTHeading3"/>
        <w:numPr>
          <w:ilvl w:val="2"/>
          <w:numId w:val="8"/>
        </w:numPr>
      </w:pPr>
      <w:r>
        <w:lastRenderedPageBreak/>
        <w:t>Vertical Separation Distances</w:t>
      </w:r>
    </w:p>
    <w:p w14:paraId="1C90A3FC" w14:textId="0FC581BF" w:rsidR="00551AF9" w:rsidRPr="00551AF9" w:rsidRDefault="00C97C48" w:rsidP="00551AF9">
      <w:pPr>
        <w:pStyle w:val="LFTBody"/>
      </w:pPr>
      <w:r w:rsidRPr="00723F13">
        <w:t xml:space="preserve">Vertical separation distance is the vertical distance from the bottom of a BMP to the top of the feature of concern. The shortest vertical distance is used in </w:t>
      </w:r>
      <w:r w:rsidR="00EE20B4">
        <w:t>measuring</w:t>
      </w:r>
      <w:r w:rsidR="000F572C">
        <w:t xml:space="preserve"> the separation</w:t>
      </w:r>
      <w:r w:rsidR="00A6081B">
        <w:t xml:space="preserve"> distance.</w:t>
      </w:r>
    </w:p>
    <w:p w14:paraId="0E1C2225" w14:textId="48180B21" w:rsidR="00E06FCC" w:rsidRPr="00E06FCC" w:rsidRDefault="00E06FCC" w:rsidP="00E54842">
      <w:pPr>
        <w:pStyle w:val="LFTHeading4"/>
      </w:pPr>
      <w:r>
        <w:t>Seasonal</w:t>
      </w:r>
      <w:r w:rsidR="00980272">
        <w:t>ly Saturated Soils</w:t>
      </w:r>
    </w:p>
    <w:p w14:paraId="6856ACC5" w14:textId="11A6658E" w:rsidR="00E06FCC" w:rsidRPr="002D216D" w:rsidRDefault="00993C65" w:rsidP="006B4887">
      <w:pPr>
        <w:pStyle w:val="LFTBody"/>
      </w:pPr>
      <w:bookmarkStart w:id="2" w:name="_Hlk300150661"/>
      <w:r>
        <w:t>Under the CGP, a</w:t>
      </w:r>
      <w:r w:rsidR="00E06FCC" w:rsidRPr="002D216D">
        <w:t xml:space="preserve"> </w:t>
      </w:r>
      <w:r w:rsidR="00E06FCC">
        <w:t>three (</w:t>
      </w:r>
      <w:r w:rsidR="00E06FCC" w:rsidRPr="002D216D">
        <w:t>3</w:t>
      </w:r>
      <w:r w:rsidR="00E06FCC">
        <w:t xml:space="preserve">) </w:t>
      </w:r>
      <w:r w:rsidR="00E06FCC" w:rsidRPr="002D216D">
        <w:t xml:space="preserve">foot vertical separation is REQUIRED between the bottom of any infiltration BMP and the </w:t>
      </w:r>
      <w:r w:rsidR="00EE20B4">
        <w:t xml:space="preserve">top of </w:t>
      </w:r>
      <w:r w:rsidR="00E06FCC" w:rsidRPr="002D216D">
        <w:t>seasonal</w:t>
      </w:r>
      <w:r w:rsidR="0018646A">
        <w:t xml:space="preserve">ly saturated </w:t>
      </w:r>
      <w:r w:rsidR="00980272">
        <w:t>soils.</w:t>
      </w:r>
      <w:r w:rsidR="0018646A">
        <w:t xml:space="preserve"> </w:t>
      </w:r>
      <w:r w:rsidR="0018646A" w:rsidRPr="00FD5F8D">
        <w:t>S</w:t>
      </w:r>
      <w:r w:rsidR="00980272" w:rsidRPr="00FD5F8D">
        <w:t>easonally s</w:t>
      </w:r>
      <w:r w:rsidR="0018646A" w:rsidRPr="00FD5F8D">
        <w:t>aturated soil</w:t>
      </w:r>
      <w:r w:rsidR="00E06FCC" w:rsidRPr="00FD5F8D">
        <w:t xml:space="preserve"> is defined as the highest seasonal elevation in the soil that is evidenced by the presence of </w:t>
      </w:r>
      <w:hyperlink r:id="rId13" w:history="1">
        <w:r w:rsidR="00E06FCC" w:rsidRPr="003C0B87">
          <w:rPr>
            <w:rStyle w:val="Hyperlink"/>
          </w:rPr>
          <w:t>redoximorphic features</w:t>
        </w:r>
      </w:hyperlink>
      <w:r w:rsidR="00E06FCC" w:rsidRPr="00FD5F8D">
        <w:t xml:space="preserve"> or other parameters as assessed by a soils specialist. The </w:t>
      </w:r>
      <w:r w:rsidR="00E06FCC">
        <w:t xml:space="preserve">temporary groundwater mound that develops below </w:t>
      </w:r>
      <w:r w:rsidR="00FA5631">
        <w:t>an</w:t>
      </w:r>
      <w:r w:rsidR="00E06FCC">
        <w:t xml:space="preserve"> operational infiltration BMP is not required to be a minimum of</w:t>
      </w:r>
      <w:r w:rsidR="00A6081B">
        <w:t xml:space="preserve"> 3</w:t>
      </w:r>
      <w:r w:rsidR="00E06FCC">
        <w:t xml:space="preserve"> feet below the bottom of the infiltration BMP</w:t>
      </w:r>
      <w:r w:rsidR="00217E18">
        <w:t xml:space="preserve">. </w:t>
      </w:r>
      <w:r w:rsidR="00E06FCC">
        <w:t>However, it is HIGHLY RECOMMENDED that this mound not penetrate into the infiltration BMP</w:t>
      </w:r>
      <w:r w:rsidR="001D7AAC">
        <w:t xml:space="preserve"> which could inhibit the pollutant removal within the media contained in the BMP</w:t>
      </w:r>
      <w:r w:rsidR="00E06FCC">
        <w:t>.</w:t>
      </w:r>
      <w:r w:rsidR="00415EDB">
        <w:t xml:space="preserve"> </w:t>
      </w:r>
      <w:r>
        <w:t xml:space="preserve">The </w:t>
      </w:r>
      <w:r w:rsidR="000F572C">
        <w:t xml:space="preserve">base of the </w:t>
      </w:r>
      <w:r>
        <w:t>BMP may be raised to achieve the 3 foot separation.</w:t>
      </w:r>
      <w:r w:rsidR="00EE20B4">
        <w:t xml:space="preserve">  Additional detail on groundwater mounds can be found here.</w:t>
      </w:r>
    </w:p>
    <w:p w14:paraId="05F0B96A" w14:textId="77777777" w:rsidR="00E06FCC" w:rsidRPr="00E06FCC" w:rsidRDefault="00E06FCC" w:rsidP="00E54842">
      <w:pPr>
        <w:pStyle w:val="LFTHeading4"/>
      </w:pPr>
      <w:bookmarkStart w:id="3" w:name="_Toc395180896"/>
      <w:r w:rsidRPr="00E06FCC">
        <w:t>Bedrock</w:t>
      </w:r>
      <w:bookmarkEnd w:id="3"/>
    </w:p>
    <w:p w14:paraId="7F05D5EB" w14:textId="5D766C30" w:rsidR="00E06FCC" w:rsidRPr="002D216D" w:rsidRDefault="00C73F10" w:rsidP="006B4887">
      <w:pPr>
        <w:pStyle w:val="LFTBody"/>
      </w:pPr>
      <w:r>
        <w:t>Under the CGP a</w:t>
      </w:r>
      <w:r w:rsidR="00E06FCC" w:rsidRPr="002D216D">
        <w:t xml:space="preserve"> minimum </w:t>
      </w:r>
      <w:r w:rsidR="000F572C">
        <w:t>3 foot vertical</w:t>
      </w:r>
      <w:r w:rsidR="00E06FCC" w:rsidRPr="002D216D">
        <w:t xml:space="preserve"> separation is REQUIRED between the base of any constructed infiltration BMP and the top of the bedrock</w:t>
      </w:r>
      <w:r w:rsidR="00217E18">
        <w:t xml:space="preserve">. </w:t>
      </w:r>
      <w:r>
        <w:t>The</w:t>
      </w:r>
      <w:r w:rsidR="000F572C">
        <w:t xml:space="preserve"> base of the</w:t>
      </w:r>
      <w:r>
        <w:t xml:space="preserve"> BMP may be raised to achieve the 3 foot separation</w:t>
      </w:r>
      <w:r w:rsidR="00A6081B">
        <w:t xml:space="preserve"> distance</w:t>
      </w:r>
    </w:p>
    <w:p w14:paraId="1DECA457" w14:textId="77777777" w:rsidR="00E06FCC" w:rsidRPr="00E06FCC" w:rsidRDefault="00E06FCC" w:rsidP="00E54842">
      <w:pPr>
        <w:pStyle w:val="LFTHeading4"/>
      </w:pPr>
      <w:bookmarkStart w:id="4" w:name="_Toc395180897"/>
      <w:r w:rsidRPr="00E06FCC">
        <w:t>Karst Bedrock</w:t>
      </w:r>
      <w:bookmarkEnd w:id="4"/>
    </w:p>
    <w:p w14:paraId="707C1501" w14:textId="30D4E9F7" w:rsidR="00551AF9" w:rsidRPr="00551AF9" w:rsidRDefault="009731CF" w:rsidP="000A2FCC">
      <w:pPr>
        <w:pStyle w:val="LFTBody"/>
      </w:pPr>
      <w:r>
        <w:t>Karst topography is a geological formation shaped by the dissolution of a layer</w:t>
      </w:r>
      <w:r w:rsidR="000F572C">
        <w:t>,</w:t>
      </w:r>
      <w:r>
        <w:t xml:space="preserve"> or layers</w:t>
      </w:r>
      <w:r w:rsidR="000F572C">
        <w:t>,</w:t>
      </w:r>
      <w:r>
        <w:t xml:space="preserve"> of soluble bedrock</w:t>
      </w:r>
      <w:r w:rsidR="00E06FCC">
        <w:t xml:space="preserve">. Groundwater in karst regions is </w:t>
      </w:r>
      <w:r w:rsidR="00E06FCC" w:rsidRPr="002D216D">
        <w:t>particularly vulnerable to contamination. There is also concern about the formation of sinkholes</w:t>
      </w:r>
      <w:r w:rsidR="007E0DF9">
        <w:t xml:space="preserve"> resulting from focused infiltration</w:t>
      </w:r>
      <w:r w:rsidR="00E06FCC" w:rsidRPr="002D216D">
        <w:t>.</w:t>
      </w:r>
      <w:r w:rsidR="00E06FCC" w:rsidRPr="001D399A">
        <w:t xml:space="preserve"> </w:t>
      </w:r>
      <w:r w:rsidR="00E06FCC">
        <w:t xml:space="preserve">The </w:t>
      </w:r>
      <w:r w:rsidR="00980272">
        <w:t>CGP</w:t>
      </w:r>
      <w:r w:rsidR="00E06FCC">
        <w:t xml:space="preserve"> prohibits </w:t>
      </w:r>
      <w:r w:rsidR="00980272">
        <w:t>i</w:t>
      </w:r>
      <w:r w:rsidR="00E06FCC">
        <w:t>nfiltration within areas that are 1</w:t>
      </w:r>
      <w:r w:rsidR="00B40B8C">
        <w:t>,</w:t>
      </w:r>
      <w:r w:rsidR="00E06FCC">
        <w:t xml:space="preserve">000 feet up gradient </w:t>
      </w:r>
      <w:r w:rsidR="0077407F">
        <w:t xml:space="preserve">or </w:t>
      </w:r>
      <w:r w:rsidR="00E06FCC">
        <w:t xml:space="preserve">100 feet down gradient of an identified karst feature, unless approved by a local government with an approved </w:t>
      </w:r>
      <w:r w:rsidR="00980272">
        <w:t>M</w:t>
      </w:r>
      <w:r w:rsidR="00E06FCC">
        <w:t>unicipal</w:t>
      </w:r>
      <w:r w:rsidR="00980272">
        <w:t xml:space="preserve"> Separate Storm </w:t>
      </w:r>
      <w:r w:rsidR="0077407F">
        <w:t>S</w:t>
      </w:r>
      <w:r w:rsidR="00980272">
        <w:t>ewer System (M</w:t>
      </w:r>
      <w:r w:rsidR="00A44520">
        <w:t>S</w:t>
      </w:r>
      <w:r w:rsidR="00980272">
        <w:t>4)</w:t>
      </w:r>
      <w:r w:rsidR="00E06FCC">
        <w:t xml:space="preserve"> NPDES permit. </w:t>
      </w:r>
      <w:r w:rsidR="0077407F">
        <w:t xml:space="preserve">In addition, the 3 foot minimum separation to bedrock is applicable under the CGP. </w:t>
      </w:r>
      <w:r w:rsidR="00E06FCC">
        <w:t xml:space="preserve">Additional detail on identifying and testing for Karst is detailed </w:t>
      </w:r>
      <w:hyperlink w:anchor="Karst" w:history="1">
        <w:r w:rsidR="00E06FCC" w:rsidRPr="006B4887">
          <w:rPr>
            <w:rStyle w:val="Hyperlink"/>
          </w:rPr>
          <w:t>here</w:t>
        </w:r>
      </w:hyperlink>
      <w:r w:rsidR="00E06FCC">
        <w:t>.</w:t>
      </w:r>
    </w:p>
    <w:p w14:paraId="5718D020" w14:textId="77777777" w:rsidR="00EE6C34" w:rsidRDefault="00E06FCC" w:rsidP="00EE6C34">
      <w:pPr>
        <w:pStyle w:val="LFTHeading3"/>
      </w:pPr>
      <w:r>
        <w:t>2.1.2</w:t>
      </w:r>
      <w:r w:rsidR="00EE6C34">
        <w:t xml:space="preserve"> </w:t>
      </w:r>
      <w:r>
        <w:t>Horizontal Separation Distances</w:t>
      </w:r>
    </w:p>
    <w:p w14:paraId="5082DE8D" w14:textId="2366BA42" w:rsidR="000F572C" w:rsidRDefault="00FD5F8D" w:rsidP="000F572C">
      <w:pPr>
        <w:pStyle w:val="LFTHeading4"/>
        <w:spacing w:after="200" w:line="264" w:lineRule="auto"/>
        <w:rPr>
          <w:rFonts w:asciiTheme="minorHAnsi" w:eastAsiaTheme="minorHAnsi" w:hAnsiTheme="minorHAnsi" w:cstheme="minorBidi"/>
          <w:b w:val="0"/>
          <w:bCs w:val="0"/>
          <w:sz w:val="21"/>
          <w:szCs w:val="22"/>
        </w:rPr>
      </w:pPr>
      <w:bookmarkStart w:id="5" w:name="_Toc395180900"/>
      <w:bookmarkEnd w:id="2"/>
      <w:r w:rsidRPr="00723F13">
        <w:rPr>
          <w:rFonts w:asciiTheme="minorHAnsi" w:eastAsiaTheme="minorHAnsi" w:hAnsiTheme="minorHAnsi" w:cstheme="minorBidi"/>
          <w:b w:val="0"/>
          <w:bCs w:val="0"/>
          <w:sz w:val="21"/>
          <w:szCs w:val="22"/>
        </w:rPr>
        <w:t>Horizontal separation distance is the horizontal distance from the closest point of a BMP to the feature of concern</w:t>
      </w:r>
      <w:r w:rsidR="00723F13" w:rsidRPr="00723F13">
        <w:rPr>
          <w:rFonts w:asciiTheme="minorHAnsi" w:eastAsiaTheme="minorHAnsi" w:hAnsiTheme="minorHAnsi" w:cstheme="minorBidi"/>
          <w:b w:val="0"/>
          <w:bCs w:val="0"/>
          <w:sz w:val="21"/>
          <w:szCs w:val="22"/>
        </w:rPr>
        <w:t>.</w:t>
      </w:r>
      <w:r w:rsidR="000F572C">
        <w:rPr>
          <w:rFonts w:asciiTheme="minorHAnsi" w:eastAsiaTheme="minorHAnsi" w:hAnsiTheme="minorHAnsi" w:cstheme="minorBidi"/>
          <w:b w:val="0"/>
          <w:bCs w:val="0"/>
          <w:sz w:val="21"/>
          <w:szCs w:val="22"/>
        </w:rPr>
        <w:t xml:space="preserve"> The shortest horizontal distance is used in determining the separation.</w:t>
      </w:r>
      <w:r w:rsidR="00457FB9">
        <w:rPr>
          <w:rFonts w:asciiTheme="minorHAnsi" w:eastAsiaTheme="minorHAnsi" w:hAnsiTheme="minorHAnsi" w:cstheme="minorBidi"/>
          <w:b w:val="0"/>
          <w:bCs w:val="0"/>
          <w:sz w:val="21"/>
          <w:szCs w:val="22"/>
        </w:rPr>
        <w:t xml:space="preserve">  </w:t>
      </w:r>
    </w:p>
    <w:p w14:paraId="3F123168" w14:textId="47A0B9A3" w:rsidR="00E06FCC" w:rsidRPr="001F046A" w:rsidRDefault="00E06FCC" w:rsidP="00E54842">
      <w:pPr>
        <w:pStyle w:val="LFTHeading4"/>
      </w:pPr>
      <w:r w:rsidRPr="001F046A">
        <w:t>Drinking Water Wells</w:t>
      </w:r>
      <w:bookmarkEnd w:id="5"/>
    </w:p>
    <w:p w14:paraId="37FE36ED" w14:textId="3DDA8741" w:rsidR="00E06FCC" w:rsidRDefault="00E06FCC" w:rsidP="006B4887">
      <w:pPr>
        <w:pStyle w:val="LFTBody"/>
      </w:pPr>
      <w:r w:rsidRPr="002D216D">
        <w:t xml:space="preserve">A 100 foot horizontal separation is REQUIRED between any infiltration BMP and drinking water well. This is to ensure there is adequate </w:t>
      </w:r>
      <w:r>
        <w:t>removal of pollutants</w:t>
      </w:r>
      <w:r w:rsidRPr="002D216D">
        <w:t xml:space="preserve"> before the infiltrating water reaches the drinking water well.</w:t>
      </w:r>
      <w:r w:rsidR="00CC3C42">
        <w:t xml:space="preserve"> </w:t>
      </w:r>
    </w:p>
    <w:p w14:paraId="2E8DFB44" w14:textId="5B78A14B" w:rsidR="00E06FCC" w:rsidRPr="007C726B" w:rsidRDefault="00FD758D" w:rsidP="00E06FCC">
      <w:pPr>
        <w:pStyle w:val="LFTMemoTEXT"/>
        <w:spacing w:after="200" w:line="264" w:lineRule="auto"/>
        <w:rPr>
          <w:sz w:val="21"/>
          <w:szCs w:val="21"/>
        </w:rPr>
      </w:pPr>
      <w:r w:rsidRPr="007C726B">
        <w:rPr>
          <w:sz w:val="21"/>
          <w:szCs w:val="21"/>
        </w:rPr>
        <w:t>The CGP prohibits i</w:t>
      </w:r>
      <w:r w:rsidR="00E06FCC" w:rsidRPr="007C726B">
        <w:rPr>
          <w:sz w:val="21"/>
          <w:szCs w:val="21"/>
        </w:rPr>
        <w:t>nfiltration in areas within a Drinking Water Supply Management Area (DWSMA)</w:t>
      </w:r>
      <w:r w:rsidRPr="007C726B">
        <w:rPr>
          <w:sz w:val="21"/>
          <w:szCs w:val="21"/>
        </w:rPr>
        <w:t xml:space="preserve"> </w:t>
      </w:r>
      <w:r w:rsidRPr="007C726B">
        <w:rPr>
          <w:rFonts w:eastAsiaTheme="minorHAnsi" w:cstheme="minorBidi"/>
          <w:sz w:val="21"/>
          <w:szCs w:val="21"/>
          <w:lang w:bidi="en-US"/>
        </w:rPr>
        <w:t xml:space="preserve">as defined in </w:t>
      </w:r>
      <w:hyperlink r:id="rId14" w:history="1">
        <w:r w:rsidRPr="007C726B">
          <w:rPr>
            <w:rFonts w:eastAsiaTheme="minorHAnsi" w:cstheme="minorBidi"/>
            <w:sz w:val="21"/>
            <w:szCs w:val="21"/>
            <w:u w:val="single"/>
            <w:lang w:bidi="en-US"/>
          </w:rPr>
          <w:t>Minn. R. 4720.5100</w:t>
        </w:r>
      </w:hyperlink>
      <w:r w:rsidRPr="007C726B">
        <w:rPr>
          <w:rFonts w:eastAsiaTheme="minorHAnsi" w:cstheme="minorBidi"/>
          <w:sz w:val="21"/>
          <w:szCs w:val="21"/>
          <w:lang w:bidi="en-US"/>
        </w:rPr>
        <w:t>, subp. 13.</w:t>
      </w:r>
      <w:r w:rsidR="00A6081B">
        <w:rPr>
          <w:rFonts w:eastAsiaTheme="minorHAnsi" w:cstheme="minorBidi"/>
          <w:sz w:val="21"/>
          <w:szCs w:val="21"/>
          <w:lang w:bidi="en-US"/>
        </w:rPr>
        <w:t>,</w:t>
      </w:r>
      <w:r w:rsidRPr="007C726B">
        <w:rPr>
          <w:rFonts w:eastAsiaTheme="minorHAnsi" w:cstheme="minorBidi"/>
          <w:sz w:val="21"/>
          <w:szCs w:val="21"/>
          <w:lang w:bidi="en-US"/>
        </w:rPr>
        <w:t xml:space="preserve"> </w:t>
      </w:r>
      <w:r w:rsidR="00E06FCC" w:rsidRPr="007C726B">
        <w:rPr>
          <w:sz w:val="21"/>
          <w:szCs w:val="21"/>
        </w:rPr>
        <w:t xml:space="preserve">unless approved by a local unit of government that has a current NPDES </w:t>
      </w:r>
      <w:r w:rsidR="00980272" w:rsidRPr="007C726B">
        <w:rPr>
          <w:sz w:val="21"/>
          <w:szCs w:val="21"/>
        </w:rPr>
        <w:t>MS4</w:t>
      </w:r>
      <w:r w:rsidR="00E06FCC" w:rsidRPr="007C726B">
        <w:rPr>
          <w:sz w:val="21"/>
          <w:szCs w:val="21"/>
        </w:rPr>
        <w:t xml:space="preserve"> permit</w:t>
      </w:r>
      <w:r w:rsidR="00217E18">
        <w:rPr>
          <w:sz w:val="21"/>
          <w:szCs w:val="21"/>
        </w:rPr>
        <w:t xml:space="preserve">. </w:t>
      </w:r>
      <w:r w:rsidR="00E06FCC" w:rsidRPr="007C726B">
        <w:rPr>
          <w:sz w:val="21"/>
          <w:szCs w:val="21"/>
        </w:rPr>
        <w:t xml:space="preserve">Maps of </w:t>
      </w:r>
      <w:hyperlink r:id="rId15" w:history="1">
        <w:r w:rsidR="00E06FCC" w:rsidRPr="007C726B">
          <w:rPr>
            <w:rStyle w:val="Hyperlink"/>
            <w:color w:val="auto"/>
            <w:sz w:val="21"/>
            <w:szCs w:val="21"/>
          </w:rPr>
          <w:t>DWSMA areas</w:t>
        </w:r>
      </w:hyperlink>
      <w:r w:rsidR="00E06FCC" w:rsidRPr="007C726B">
        <w:rPr>
          <w:sz w:val="21"/>
          <w:szCs w:val="21"/>
        </w:rPr>
        <w:t xml:space="preserve"> are available through the MN Department of Health.</w:t>
      </w:r>
    </w:p>
    <w:p w14:paraId="17ED1907" w14:textId="77777777" w:rsidR="00E06FCC" w:rsidRPr="001F046A" w:rsidRDefault="00E06FCC" w:rsidP="00E54842">
      <w:pPr>
        <w:pStyle w:val="LFTHeading4"/>
      </w:pPr>
      <w:bookmarkStart w:id="6" w:name="_Toc395180901"/>
      <w:r w:rsidRPr="001F046A">
        <w:t xml:space="preserve">Building or </w:t>
      </w:r>
      <w:r w:rsidR="00E54842">
        <w:t>O</w:t>
      </w:r>
      <w:r w:rsidRPr="001F046A">
        <w:t>ther Structural Foundations</w:t>
      </w:r>
      <w:bookmarkEnd w:id="6"/>
    </w:p>
    <w:p w14:paraId="5643FC53" w14:textId="1B919F43" w:rsidR="00F94FA6" w:rsidRDefault="00CC3C42" w:rsidP="006B4887">
      <w:pPr>
        <w:pStyle w:val="LFTBody"/>
      </w:pPr>
      <w:bookmarkStart w:id="7" w:name="_Toc395180902"/>
      <w:r>
        <w:t>A horizontal</w:t>
      </w:r>
      <w:r w:rsidR="00E06FCC" w:rsidRPr="002D216D">
        <w:t xml:space="preserve"> separation of 10 feet is </w:t>
      </w:r>
      <w:r w:rsidR="00526820">
        <w:t>HIGHLY RECOMMENDED</w:t>
      </w:r>
      <w:r w:rsidR="00526820" w:rsidRPr="002D216D">
        <w:t xml:space="preserve"> </w:t>
      </w:r>
      <w:r w:rsidR="00E06FCC" w:rsidRPr="002D216D">
        <w:t xml:space="preserve">between any infiltration BMP and a </w:t>
      </w:r>
      <w:r w:rsidR="00E06FCC">
        <w:t>structural</w:t>
      </w:r>
      <w:r w:rsidR="00E06FCC" w:rsidRPr="002D216D">
        <w:t xml:space="preserve"> foundation</w:t>
      </w:r>
      <w:r w:rsidR="00F94FA6">
        <w:t>.</w:t>
      </w:r>
      <w:r w:rsidR="00E06FCC" w:rsidRPr="002D216D">
        <w:t xml:space="preserve"> </w:t>
      </w:r>
      <w:r w:rsidR="00A6081B">
        <w:t>Despite this recommended separation distance, the designer is encourage</w:t>
      </w:r>
      <w:r w:rsidR="00B842F4">
        <w:t>d</w:t>
      </w:r>
      <w:r w:rsidR="00A6081B">
        <w:t xml:space="preserve"> to model the groundwater flow in the area using an unsaturated flow model to ensure that the infiltration BMP will not impact any surrounding structural foundations. </w:t>
      </w:r>
      <w:r w:rsidR="00B842F4">
        <w:t xml:space="preserve">Additional modeling is </w:t>
      </w:r>
      <w:r w:rsidR="00B842F4">
        <w:lastRenderedPageBreak/>
        <w:t>critical</w:t>
      </w:r>
      <w:r w:rsidR="00A6081B">
        <w:t xml:space="preserve"> if the site contains a fill material</w:t>
      </w:r>
      <w:r w:rsidR="00B842F4">
        <w:t xml:space="preserve"> which may result in</w:t>
      </w:r>
      <w:r w:rsidR="00A6081B">
        <w:t xml:space="preserve"> a greater separation distance </w:t>
      </w:r>
      <w:r>
        <w:t>related to the</w:t>
      </w:r>
      <w:r w:rsidR="00A6081B">
        <w:t xml:space="preserve"> greater void space </w:t>
      </w:r>
      <w:r>
        <w:t xml:space="preserve">often present in fill material </w:t>
      </w:r>
      <w:r w:rsidR="00A6081B">
        <w:t>which allow</w:t>
      </w:r>
      <w:r>
        <w:t>s</w:t>
      </w:r>
      <w:r w:rsidR="00A6081B">
        <w:t xml:space="preserve"> the infiltrating water to migrate lateral</w:t>
      </w:r>
      <w:r w:rsidR="00B842F4">
        <w:t>ly</w:t>
      </w:r>
      <w:r w:rsidR="00A6081B">
        <w:t xml:space="preserve"> to the building foundation. </w:t>
      </w:r>
    </w:p>
    <w:p w14:paraId="74E7D576" w14:textId="77777777" w:rsidR="00E06FCC" w:rsidRPr="001F046A" w:rsidRDefault="00E06FCC" w:rsidP="00E54842">
      <w:pPr>
        <w:pStyle w:val="LFTHeading4"/>
      </w:pPr>
      <w:bookmarkStart w:id="8" w:name="_Toc395180903"/>
      <w:bookmarkEnd w:id="7"/>
      <w:r w:rsidRPr="001F046A">
        <w:t>Surface Waters</w:t>
      </w:r>
      <w:bookmarkEnd w:id="8"/>
    </w:p>
    <w:p w14:paraId="7CF4FB63" w14:textId="0D8DFA36" w:rsidR="00E06FCC" w:rsidRPr="002D216D" w:rsidRDefault="00E06FCC" w:rsidP="006B4887">
      <w:pPr>
        <w:pStyle w:val="LFTBody"/>
      </w:pPr>
      <w:r w:rsidRPr="002D216D">
        <w:t xml:space="preserve">Infiltration BMPs are </w:t>
      </w:r>
      <w:r w:rsidR="00415EDB">
        <w:t>not recommended if</w:t>
      </w:r>
      <w:r w:rsidR="00EA7677">
        <w:t xml:space="preserve"> the</w:t>
      </w:r>
      <w:r w:rsidR="00415EDB">
        <w:t xml:space="preserve"> infiltrating water contains a soluble pollutant that is likely to be transported via groundwater to a surface water impaired for that pollutant</w:t>
      </w:r>
      <w:r w:rsidR="00A6081B">
        <w:t xml:space="preserve"> (e.g. chloride)</w:t>
      </w:r>
      <w:r w:rsidR="00415EDB">
        <w:t xml:space="preserve">. </w:t>
      </w:r>
      <w:r w:rsidR="00A6081B">
        <w:t>T</w:t>
      </w:r>
      <w:r w:rsidRPr="002D216D">
        <w:t>here may</w:t>
      </w:r>
      <w:r w:rsidR="00A6081B">
        <w:t xml:space="preserve"> also</w:t>
      </w:r>
      <w:r w:rsidRPr="002D216D">
        <w:t xml:space="preserve"> be local zoning or shoreline restrictions. </w:t>
      </w:r>
      <w:r w:rsidR="00A6081B">
        <w:t xml:space="preserve">Prior to the </w:t>
      </w:r>
      <w:r w:rsidR="004311A0">
        <w:t>designing</w:t>
      </w:r>
      <w:r w:rsidR="00A6081B">
        <w:t xml:space="preserve"> of any infiltration BMP that may impact surface waters, t</w:t>
      </w:r>
      <w:r w:rsidRPr="002D216D">
        <w:t xml:space="preserve">he user should consult the local city or county zoning office and watershed management organization, or the Soil and </w:t>
      </w:r>
      <w:r w:rsidR="00FD5F8D">
        <w:t xml:space="preserve">Water </w:t>
      </w:r>
      <w:r w:rsidRPr="002D216D">
        <w:t>Conservation District</w:t>
      </w:r>
      <w:r w:rsidR="00A6081B">
        <w:t>.</w:t>
      </w:r>
    </w:p>
    <w:p w14:paraId="52A22B21" w14:textId="77777777" w:rsidR="00E06FCC" w:rsidRPr="001F046A" w:rsidRDefault="00E06FCC" w:rsidP="00E54842">
      <w:pPr>
        <w:pStyle w:val="LFTHeading4"/>
      </w:pPr>
      <w:bookmarkStart w:id="9" w:name="_Toc395180904"/>
      <w:r w:rsidRPr="001F046A">
        <w:t>Septic System Tank/Leach Field</w:t>
      </w:r>
      <w:bookmarkEnd w:id="9"/>
    </w:p>
    <w:p w14:paraId="325D6DC0" w14:textId="135AEB8D" w:rsidR="00E06FCC" w:rsidRPr="00B40B8C" w:rsidRDefault="00E06FCC" w:rsidP="006B4887">
      <w:pPr>
        <w:pStyle w:val="LFTBody"/>
        <w:rPr>
          <w:szCs w:val="21"/>
        </w:rPr>
      </w:pPr>
      <w:r w:rsidRPr="00B40B8C">
        <w:rPr>
          <w:szCs w:val="21"/>
        </w:rPr>
        <w:t xml:space="preserve">A </w:t>
      </w:r>
      <w:hyperlink r:id="rId16" w:history="1">
        <w:r w:rsidRPr="00B40B8C">
          <w:rPr>
            <w:rStyle w:val="Hyperlink"/>
          </w:rPr>
          <w:t>35 foot</w:t>
        </w:r>
      </w:hyperlink>
      <w:r w:rsidRPr="00B40B8C">
        <w:rPr>
          <w:color w:val="006094" w:themeColor="background2" w:themeShade="BF"/>
          <w:szCs w:val="21"/>
        </w:rPr>
        <w:t xml:space="preserve"> </w:t>
      </w:r>
      <w:r w:rsidR="00B842F4">
        <w:rPr>
          <w:szCs w:val="21"/>
        </w:rPr>
        <w:t>horizontal</w:t>
      </w:r>
      <w:r w:rsidR="0086418B" w:rsidRPr="0086418B">
        <w:rPr>
          <w:szCs w:val="21"/>
        </w:rPr>
        <w:t xml:space="preserve"> </w:t>
      </w:r>
      <w:r w:rsidRPr="00B40B8C">
        <w:rPr>
          <w:szCs w:val="21"/>
        </w:rPr>
        <w:t xml:space="preserve">separation is </w:t>
      </w:r>
      <w:r w:rsidR="007F45A3" w:rsidRPr="00B40B8C">
        <w:rPr>
          <w:szCs w:val="21"/>
        </w:rPr>
        <w:t xml:space="preserve">recommended </w:t>
      </w:r>
      <w:r w:rsidRPr="00B40B8C">
        <w:rPr>
          <w:szCs w:val="21"/>
        </w:rPr>
        <w:t>between any infiltration BMP and a septic tank or leach field.</w:t>
      </w:r>
      <w:r w:rsidR="00CC3C42">
        <w:rPr>
          <w:szCs w:val="21"/>
        </w:rPr>
        <w:t xml:space="preserve">  </w:t>
      </w:r>
    </w:p>
    <w:p w14:paraId="454833A5" w14:textId="77777777" w:rsidR="00E06FCC" w:rsidRPr="002D216D" w:rsidRDefault="00E06FCC" w:rsidP="00E54842">
      <w:pPr>
        <w:pStyle w:val="LFTHeading4"/>
        <w:rPr>
          <w:color w:val="006094" w:themeColor="background2" w:themeShade="BF"/>
          <w:sz w:val="21"/>
          <w:szCs w:val="21"/>
        </w:rPr>
      </w:pPr>
      <w:bookmarkStart w:id="10" w:name="_Toc395180905"/>
      <w:r w:rsidRPr="001F046A">
        <w:t>Potential Contamination Sources</w:t>
      </w:r>
      <w:bookmarkEnd w:id="10"/>
    </w:p>
    <w:p w14:paraId="7DF2130F" w14:textId="372F9FE9" w:rsidR="009569A0" w:rsidRDefault="0086418B" w:rsidP="0086418B">
      <w:pPr>
        <w:pStyle w:val="LFTBody"/>
      </w:pPr>
      <w:r>
        <w:t>The CGP PROHIBITS infiltration when the infiltration system will be constructed in areas where high levels of contaminants in the soil or groundwater will be mobilized by the infiltrating water. At all other sites</w:t>
      </w:r>
      <w:r w:rsidR="00684420">
        <w:t xml:space="preserve"> not regulated by the CGP, </w:t>
      </w:r>
      <w:r>
        <w:t>infiltration is not generally recommended in areas of contaminated soils for the same reason that the infiltrating water may mobilize the contamination.</w:t>
      </w:r>
      <w:r w:rsidR="00CF413A">
        <w:t xml:space="preserve"> </w:t>
      </w:r>
      <w:r w:rsidR="009569A0">
        <w:t>S</w:t>
      </w:r>
      <w:r w:rsidR="009569A0" w:rsidRPr="002D216D">
        <w:t>tormwater infiltration</w:t>
      </w:r>
      <w:r w:rsidR="009569A0">
        <w:t xml:space="preserve"> may be feasible</w:t>
      </w:r>
      <w:r>
        <w:t>, however,</w:t>
      </w:r>
      <w:r w:rsidR="009569A0">
        <w:t xml:space="preserve"> on sites where the </w:t>
      </w:r>
      <w:r w:rsidR="009569A0" w:rsidRPr="002D216D">
        <w:t xml:space="preserve">infiltration </w:t>
      </w:r>
      <w:r w:rsidR="009569A0">
        <w:t>BMP</w:t>
      </w:r>
      <w:r w:rsidR="009569A0" w:rsidRPr="002D216D">
        <w:t xml:space="preserve"> can be isolated from the</w:t>
      </w:r>
      <w:r w:rsidR="00684420">
        <w:t xml:space="preserve"> </w:t>
      </w:r>
      <w:r w:rsidR="009569A0" w:rsidRPr="002D216D">
        <w:t>contaminants</w:t>
      </w:r>
      <w:r w:rsidR="009569A0">
        <w:t>.</w:t>
      </w:r>
    </w:p>
    <w:p w14:paraId="4AD229A6" w14:textId="3F5BB3B6" w:rsidR="009569A0" w:rsidRDefault="00E06FCC" w:rsidP="006B4887">
      <w:pPr>
        <w:pStyle w:val="LFTBody"/>
      </w:pPr>
      <w:r>
        <w:t>It is HIGHLY RECOMMENDED that s</w:t>
      </w:r>
      <w:r w:rsidRPr="002D216D">
        <w:t xml:space="preserve">tormwater infiltration </w:t>
      </w:r>
      <w:r>
        <w:t>BMPs</w:t>
      </w:r>
      <w:r w:rsidRPr="002D216D">
        <w:t xml:space="preserve"> </w:t>
      </w:r>
      <w:r w:rsidR="0086418B">
        <w:t>not be</w:t>
      </w:r>
      <w:r w:rsidRPr="002D216D">
        <w:t xml:space="preserve"> </w:t>
      </w:r>
      <w:r>
        <w:t>installed</w:t>
      </w:r>
      <w:r w:rsidRPr="002D216D">
        <w:t xml:space="preserve"> in areas with contaminated groundwater</w:t>
      </w:r>
      <w:r w:rsidR="009569A0">
        <w:t xml:space="preserve"> down-gradient of the BMP</w:t>
      </w:r>
      <w:r w:rsidR="0086418B">
        <w:t>, unless</w:t>
      </w:r>
      <w:r w:rsidRPr="002D216D">
        <w:t xml:space="preserve"> </w:t>
      </w:r>
      <w:r>
        <w:t xml:space="preserve">barriers or other devices that maintain a separation between the </w:t>
      </w:r>
      <w:r w:rsidR="00CF413A">
        <w:t xml:space="preserve">water infiltrating from the </w:t>
      </w:r>
      <w:r>
        <w:t>BMP and the contaminants</w:t>
      </w:r>
      <w:r w:rsidR="0086418B">
        <w:t xml:space="preserve"> are present</w:t>
      </w:r>
      <w:r w:rsidR="00217E18">
        <w:t xml:space="preserve">. </w:t>
      </w:r>
      <w:r w:rsidR="00690450">
        <w:t xml:space="preserve">More information regarding stormwater management in contaminated areas can be found </w:t>
      </w:r>
      <w:hyperlink w:anchor="Contaminated" w:history="1">
        <w:r w:rsidR="00690450" w:rsidRPr="00690450">
          <w:rPr>
            <w:rStyle w:val="Hyperlink"/>
          </w:rPr>
          <w:t>here</w:t>
        </w:r>
      </w:hyperlink>
      <w:r w:rsidR="00690450">
        <w:t>.</w:t>
      </w:r>
    </w:p>
    <w:p w14:paraId="0FFA9C7F" w14:textId="77777777" w:rsidR="00E06FCC" w:rsidRPr="002D216D" w:rsidRDefault="00E06FCC" w:rsidP="00E54842">
      <w:pPr>
        <w:pStyle w:val="LFTHeading4"/>
        <w:rPr>
          <w:color w:val="006094" w:themeColor="background2" w:themeShade="BF"/>
          <w:sz w:val="21"/>
          <w:szCs w:val="21"/>
          <w:u w:val="single"/>
        </w:rPr>
      </w:pPr>
      <w:r w:rsidRPr="001F046A">
        <w:t>Site Topography and Slopes</w:t>
      </w:r>
    </w:p>
    <w:p w14:paraId="1C526704" w14:textId="113D8F60" w:rsidR="00E06FCC" w:rsidRPr="002D216D" w:rsidRDefault="00E06FCC" w:rsidP="006B4887">
      <w:pPr>
        <w:pStyle w:val="LFTBody"/>
      </w:pPr>
      <w:r w:rsidRPr="002D216D">
        <w:t xml:space="preserve">Unless slope stability </w:t>
      </w:r>
      <w:r>
        <w:t>analyses</w:t>
      </w:r>
      <w:r w:rsidRPr="002D216D">
        <w:t xml:space="preserve"> demonstrate otherwise, it is </w:t>
      </w:r>
      <w:hyperlink r:id="rId17" w:history="1">
        <w:r w:rsidRPr="006B4887">
          <w:rPr>
            <w:rStyle w:val="Hyperlink"/>
          </w:rPr>
          <w:t>HIGHLY RECOMMENDED</w:t>
        </w:r>
      </w:hyperlink>
      <w:r w:rsidRPr="002D216D">
        <w:t xml:space="preserve"> that infiltration practices be located a minimum horizontal distance of 200 feet </w:t>
      </w:r>
      <w:r w:rsidR="009075A3">
        <w:t>up</w:t>
      </w:r>
      <w:r w:rsidRPr="002D216D">
        <w:t xml:space="preserve">-gradient </w:t>
      </w:r>
      <w:r>
        <w:t>from the toe of a slope that is</w:t>
      </w:r>
      <w:r w:rsidRPr="002D216D">
        <w:t xml:space="preserve"> greater than 20 </w:t>
      </w:r>
      <w:r>
        <w:t>percent</w:t>
      </w:r>
      <w:r w:rsidRPr="002D216D">
        <w:t>, and that the slopes in contributing drainage areas be limited to 15 percent.</w:t>
      </w:r>
      <w:r w:rsidR="00E96305">
        <w:t xml:space="preserve"> Guidance for managing infiltration and runoff to minimize the likelihood of slope erosion and slumping can be found at</w:t>
      </w:r>
      <w:r w:rsidR="009075A3">
        <w:t xml:space="preserve"> the </w:t>
      </w:r>
      <w:hyperlink r:id="rId18" w:history="1">
        <w:r w:rsidR="009075A3" w:rsidRPr="009075A3">
          <w:rPr>
            <w:rStyle w:val="Hyperlink"/>
          </w:rPr>
          <w:t>Toronto and Region Conservation website</w:t>
        </w:r>
      </w:hyperlink>
      <w:r w:rsidR="009075A3">
        <w:t xml:space="preserve"> and</w:t>
      </w:r>
      <w:r w:rsidR="00523956">
        <w:t xml:space="preserve"> </w:t>
      </w:r>
      <w:r w:rsidR="009075A3">
        <w:t xml:space="preserve">The University of </w:t>
      </w:r>
      <w:hyperlink r:id="rId19" w:history="1">
        <w:r w:rsidR="009075A3" w:rsidRPr="009075A3">
          <w:rPr>
            <w:rStyle w:val="Hyperlink"/>
          </w:rPr>
          <w:t>Wisconsin Sea Grant Institute</w:t>
        </w:r>
      </w:hyperlink>
      <w:r w:rsidR="009075A3">
        <w:t xml:space="preserve"> website. </w:t>
      </w:r>
    </w:p>
    <w:p w14:paraId="2046C4BE" w14:textId="77777777" w:rsidR="001F046A" w:rsidRDefault="001F046A" w:rsidP="001F046A">
      <w:pPr>
        <w:pStyle w:val="LFTHeading3"/>
      </w:pPr>
      <w:bookmarkStart w:id="11" w:name="_Toc395180906"/>
      <w:r>
        <w:t>2.1.3 Methods for Determining Separation Distances</w:t>
      </w:r>
    </w:p>
    <w:bookmarkEnd w:id="11"/>
    <w:p w14:paraId="55F68104" w14:textId="2D2C8DF3" w:rsidR="00E06FCC" w:rsidRPr="002D216D" w:rsidRDefault="009A3B3B" w:rsidP="006B4887">
      <w:pPr>
        <w:pStyle w:val="LFTBody"/>
      </w:pPr>
      <w:r>
        <w:t>H</w:t>
      </w:r>
      <w:r w:rsidR="00E06FCC" w:rsidRPr="002D216D">
        <w:t xml:space="preserve">orizontal separation distances can be </w:t>
      </w:r>
      <w:r>
        <w:t>determined</w:t>
      </w:r>
      <w:r w:rsidR="00E06FCC" w:rsidRPr="002D216D">
        <w:t xml:space="preserve"> using simple measurement </w:t>
      </w:r>
      <w:r w:rsidR="00E06FCC">
        <w:t>devices such as</w:t>
      </w:r>
      <w:r w:rsidR="00E06FCC" w:rsidRPr="002D216D">
        <w:t xml:space="preserve"> </w:t>
      </w:r>
      <w:r w:rsidR="00684420">
        <w:t xml:space="preserve">a </w:t>
      </w:r>
      <w:r w:rsidR="00E06FCC" w:rsidRPr="002D216D">
        <w:t>GPS</w:t>
      </w:r>
      <w:r>
        <w:t>,</w:t>
      </w:r>
      <w:r w:rsidR="00E06FCC">
        <w:t xml:space="preserve"> survey,</w:t>
      </w:r>
      <w:r w:rsidR="00E06FCC" w:rsidRPr="002D216D">
        <w:t xml:space="preserve"> or even something as basic as a tape measure or measuring wheel.</w:t>
      </w:r>
      <w:r w:rsidR="002C012C">
        <w:t xml:space="preserve"> Distances should be measured from the edge of the BMP to the edge of the area of interest.</w:t>
      </w:r>
    </w:p>
    <w:p w14:paraId="6CC0680B" w14:textId="510C740E" w:rsidR="00E06FCC" w:rsidRDefault="00E06FCC" w:rsidP="006B4887">
      <w:pPr>
        <w:pStyle w:val="LFTBody"/>
      </w:pPr>
      <w:r w:rsidRPr="002D216D">
        <w:t xml:space="preserve">Vertical separation distances require subsurface investigations. Information on determining the vertical distance to bedrock or groundwater can be found </w:t>
      </w:r>
      <w:hyperlink w:anchor="Shallow_GW_Invest" w:history="1">
        <w:r w:rsidRPr="006B4887">
          <w:rPr>
            <w:rStyle w:val="Hyperlink"/>
          </w:rPr>
          <w:t>here</w:t>
        </w:r>
      </w:hyperlink>
      <w:r w:rsidRPr="002D216D">
        <w:t>.</w:t>
      </w:r>
    </w:p>
    <w:p w14:paraId="08F04639" w14:textId="77777777" w:rsidR="00CB4658" w:rsidRDefault="00CB4658" w:rsidP="006B4887">
      <w:pPr>
        <w:pStyle w:val="LFTBody"/>
      </w:pPr>
    </w:p>
    <w:p w14:paraId="04C2B388" w14:textId="77777777" w:rsidR="00CB4658" w:rsidRPr="002D216D" w:rsidRDefault="00CB4658" w:rsidP="006B4887">
      <w:pPr>
        <w:pStyle w:val="LFTBody"/>
      </w:pPr>
    </w:p>
    <w:p w14:paraId="2C6455EC" w14:textId="77777777" w:rsidR="001F046A" w:rsidRPr="00C45E61" w:rsidRDefault="001F046A" w:rsidP="006F4324">
      <w:pPr>
        <w:pStyle w:val="LFTHeading2"/>
        <w:numPr>
          <w:ilvl w:val="1"/>
          <w:numId w:val="8"/>
        </w:numPr>
      </w:pPr>
      <w:r>
        <w:lastRenderedPageBreak/>
        <w:t>Shallow Groundwater</w:t>
      </w:r>
    </w:p>
    <w:p w14:paraId="2041162E" w14:textId="77777777" w:rsidR="001F046A" w:rsidRPr="001F046A" w:rsidRDefault="001F046A" w:rsidP="006B4887">
      <w:pPr>
        <w:pStyle w:val="LFTHeading3"/>
        <w:rPr>
          <w:i/>
        </w:rPr>
      </w:pPr>
      <w:r>
        <w:t xml:space="preserve">2.2.1 </w:t>
      </w:r>
      <w:r w:rsidRPr="001F046A">
        <w:t>What is Shallow Groundwater?</w:t>
      </w:r>
    </w:p>
    <w:p w14:paraId="23F522CB" w14:textId="462FFAA5" w:rsidR="001F046A" w:rsidRPr="002D216D" w:rsidRDefault="001F046A" w:rsidP="006B4887">
      <w:pPr>
        <w:pStyle w:val="LFTBody"/>
      </w:pPr>
      <w:r w:rsidRPr="002D216D">
        <w:t>Shallow groundwater is a condition where the seasonal high groundwater table</w:t>
      </w:r>
      <w:r w:rsidR="00E9578D">
        <w:t>, or saturated soil,</w:t>
      </w:r>
      <w:r w:rsidRPr="002D216D">
        <w:t xml:space="preserve"> is less than 3 feet from the land surface</w:t>
      </w:r>
      <w:r>
        <w:t>.</w:t>
      </w:r>
      <w:r w:rsidR="004344E5">
        <w:t xml:space="preserve"> </w:t>
      </w:r>
      <w:r w:rsidRPr="002D216D">
        <w:t xml:space="preserve">There is a large portion of the state (more than 50 percent) where the </w:t>
      </w:r>
      <w:r w:rsidR="00E9578D">
        <w:t>seasonal high water table</w:t>
      </w:r>
      <w:r w:rsidR="00E9578D" w:rsidRPr="002D216D">
        <w:t xml:space="preserve"> </w:t>
      </w:r>
      <w:r w:rsidRPr="002D216D">
        <w:t xml:space="preserve">is located less than 3 feet from the surface. In these areas it may be impossible to get the 3 feet of separation from the bottom of an infiltration practice </w:t>
      </w:r>
      <w:r w:rsidR="00E9578D">
        <w:t>to the seasonal high water table</w:t>
      </w:r>
      <w:r w:rsidRPr="002D216D">
        <w:t xml:space="preserve"> </w:t>
      </w:r>
      <w:r>
        <w:t xml:space="preserve">REQUIRED </w:t>
      </w:r>
      <w:r w:rsidRPr="002D216D">
        <w:t>under the NPDES </w:t>
      </w:r>
      <w:hyperlink r:id="rId20" w:history="1">
        <w:r w:rsidRPr="002D216D">
          <w:t>Construction General Permit</w:t>
        </w:r>
      </w:hyperlink>
      <w:r w:rsidRPr="002D216D">
        <w:t xml:space="preserve">. </w:t>
      </w:r>
      <w:r>
        <w:t>Non-infiltration BMPs</w:t>
      </w:r>
      <w:r w:rsidR="00E9578D">
        <w:t xml:space="preserve">, such as </w:t>
      </w:r>
      <w:r w:rsidR="00DF67CA">
        <w:t xml:space="preserve">lined </w:t>
      </w:r>
      <w:r w:rsidR="00E9578D">
        <w:t>filtration or settling practices,</w:t>
      </w:r>
      <w:r w:rsidRPr="002D216D">
        <w:t xml:space="preserve"> should be considered in </w:t>
      </w:r>
      <w:r w:rsidR="007D1D36" w:rsidRPr="007B7C9C">
        <w:t>areas with shallow groundwater</w:t>
      </w:r>
      <w:r w:rsidR="007D1D36">
        <w:rPr>
          <w:highlight w:val="yellow"/>
        </w:rPr>
        <w:t>.</w:t>
      </w:r>
      <w:r w:rsidR="007D1D36" w:rsidRPr="007D1D36">
        <w:t xml:space="preserve"> </w:t>
      </w:r>
    </w:p>
    <w:p w14:paraId="0E448810" w14:textId="77777777" w:rsidR="001F046A" w:rsidRPr="001F046A" w:rsidRDefault="006B4887" w:rsidP="006B4887">
      <w:pPr>
        <w:pStyle w:val="LFTHeading3"/>
        <w:rPr>
          <w:i/>
        </w:rPr>
      </w:pPr>
      <w:r>
        <w:t xml:space="preserve">2.2.2 </w:t>
      </w:r>
      <w:r w:rsidR="001F046A">
        <w:t>W</w:t>
      </w:r>
      <w:r w:rsidR="001F046A" w:rsidRPr="001F046A">
        <w:t>hy is Shallow Groundwater a Concern?</w:t>
      </w:r>
    </w:p>
    <w:p w14:paraId="762477C5" w14:textId="4CEC68E9" w:rsidR="001F046A" w:rsidRPr="00345C69" w:rsidRDefault="00983F86" w:rsidP="006B4887">
      <w:pPr>
        <w:pStyle w:val="LFTBody"/>
      </w:pPr>
      <w:r>
        <w:t>Removal of some pollutants (e.g.</w:t>
      </w:r>
      <w:r w:rsidR="00E0009B">
        <w:t>,</w:t>
      </w:r>
      <w:r>
        <w:t xml:space="preserve"> bacteria) can occur in the vadose zone beneath the base of the BMP.</w:t>
      </w:r>
      <w:r w:rsidR="001F046A">
        <w:t xml:space="preserve">  Pollutant removal </w:t>
      </w:r>
      <w:r w:rsidR="00BD3E1F">
        <w:t xml:space="preserve">in the vadose zone </w:t>
      </w:r>
      <w:r w:rsidR="001F046A">
        <w:t xml:space="preserve">is attained </w:t>
      </w:r>
      <w:r w:rsidR="001F046A" w:rsidRPr="00345C69">
        <w:t xml:space="preserve">via </w:t>
      </w:r>
      <w:r w:rsidR="00246653" w:rsidRPr="00345C69">
        <w:t>biological activity</w:t>
      </w:r>
      <w:r w:rsidR="00246653">
        <w:t>,</w:t>
      </w:r>
      <w:r w:rsidR="00246653" w:rsidRPr="00345C69">
        <w:t xml:space="preserve"> </w:t>
      </w:r>
      <w:r w:rsidR="00246653">
        <w:t>chemical</w:t>
      </w:r>
      <w:r w:rsidR="00EF7D0E">
        <w:t xml:space="preserve"> degradation, adsorption of pollutants to soil, and plant uptake</w:t>
      </w:r>
      <w:r w:rsidR="001F046A" w:rsidRPr="00345C69">
        <w:t>. Shallow groundwater</w:t>
      </w:r>
      <w:r w:rsidR="001F046A">
        <w:t xml:space="preserve"> reduces the depth of </w:t>
      </w:r>
      <w:r w:rsidR="00684420">
        <w:t xml:space="preserve">the </w:t>
      </w:r>
      <w:r w:rsidR="001F046A">
        <w:t>unsaturated soil</w:t>
      </w:r>
      <w:r w:rsidR="006B4887">
        <w:t xml:space="preserve"> </w:t>
      </w:r>
      <w:r w:rsidR="001F046A" w:rsidRPr="00345C69">
        <w:t>available for treatment</w:t>
      </w:r>
      <w:r>
        <w:t>, leading to an increased likelihood of groundwater contamination.</w:t>
      </w:r>
      <w:r w:rsidR="001F046A" w:rsidRPr="00345C69">
        <w:t xml:space="preserve"> </w:t>
      </w:r>
      <w:r>
        <w:t>T</w:t>
      </w:r>
      <w:r w:rsidR="001F046A">
        <w:t>he vadose zone is further reduced when</w:t>
      </w:r>
      <w:r w:rsidR="001F046A" w:rsidRPr="00345C69">
        <w:t xml:space="preserve"> a groundwater mound form</w:t>
      </w:r>
      <w:r w:rsidR="001F046A">
        <w:t>s</w:t>
      </w:r>
      <w:r w:rsidR="001F046A" w:rsidRPr="00345C69">
        <w:t>. These sites present challenges to stormwater management</w:t>
      </w:r>
      <w:r w:rsidR="007F1745">
        <w:t>,</w:t>
      </w:r>
      <w:r w:rsidR="00370B89">
        <w:t xml:space="preserve"> </w:t>
      </w:r>
      <w:r w:rsidR="001F046A" w:rsidRPr="00345C69">
        <w:t xml:space="preserve">however these challenges can be managed. General guidelines </w:t>
      </w:r>
      <w:r w:rsidR="00684420">
        <w:t>for investigation and management are presented in the following sections</w:t>
      </w:r>
    </w:p>
    <w:p w14:paraId="06804262" w14:textId="2B48523F" w:rsidR="001F046A" w:rsidRPr="001F046A" w:rsidRDefault="006B4887" w:rsidP="006B4887">
      <w:pPr>
        <w:pStyle w:val="LFTHeading3"/>
        <w:rPr>
          <w:i/>
        </w:rPr>
      </w:pPr>
      <w:bookmarkStart w:id="12" w:name="Shallow_GW_Invest"/>
      <w:r>
        <w:t>2.2</w:t>
      </w:r>
      <w:r w:rsidR="00E0009B">
        <w:t>.</w:t>
      </w:r>
      <w:r w:rsidR="00983F86">
        <w:t xml:space="preserve">3 </w:t>
      </w:r>
      <w:r w:rsidR="001F046A" w:rsidRPr="001F046A">
        <w:t>How to Investigate for Shallow Groundwater</w:t>
      </w:r>
    </w:p>
    <w:bookmarkEnd w:id="12"/>
    <w:p w14:paraId="0D3916A3" w14:textId="7A4AF291" w:rsidR="001738AD" w:rsidRDefault="001738AD" w:rsidP="006B4887">
      <w:pPr>
        <w:pStyle w:val="LFTBody"/>
      </w:pPr>
      <w:r>
        <w:t>Investigations are recommended for all proposed stormwater facilities located on sites with a suspected shallow groundwater table. The investigation should be two-fold. First, appropriate screeni</w:t>
      </w:r>
      <w:r w:rsidR="00983F86">
        <w:t>ng tools such as soil surveys,</w:t>
      </w:r>
      <w:r>
        <w:t xml:space="preserve"> geologic atlases</w:t>
      </w:r>
      <w:r w:rsidR="00983F86">
        <w:t>, or well records</w:t>
      </w:r>
      <w:r>
        <w:t xml:space="preserve"> should be used to determine the likelihood that the groundwater table is shallow. If a shallow groundwater table is present, a geotechnical investigation should be conducted. </w:t>
      </w:r>
    </w:p>
    <w:p w14:paraId="604A3F3E" w14:textId="40A21441" w:rsidR="001738AD" w:rsidRDefault="001F046A" w:rsidP="001738AD">
      <w:pPr>
        <w:pStyle w:val="LFTBody"/>
      </w:pPr>
      <w:r w:rsidRPr="00345C69">
        <w:t xml:space="preserve">Geotechnical investigations are recommended for all proposed stormwater facilities located </w:t>
      </w:r>
      <w:r>
        <w:t>on sites</w:t>
      </w:r>
      <w:r w:rsidRPr="00345C69">
        <w:t xml:space="preserve"> </w:t>
      </w:r>
      <w:r w:rsidR="001738AD">
        <w:t xml:space="preserve">where it is suspected </w:t>
      </w:r>
      <w:r w:rsidR="00983F86">
        <w:t>that the 3 foot vertical separation between the base of the BMP and the</w:t>
      </w:r>
      <w:r w:rsidR="001738AD">
        <w:t xml:space="preserve"> </w:t>
      </w:r>
      <w:r w:rsidRPr="00345C69">
        <w:t>groundwater</w:t>
      </w:r>
      <w:r w:rsidR="004030FF">
        <w:t xml:space="preserve"> </w:t>
      </w:r>
      <w:r w:rsidR="00983F86">
        <w:t xml:space="preserve">table </w:t>
      </w:r>
      <w:r w:rsidR="00684420">
        <w:t>might</w:t>
      </w:r>
      <w:r w:rsidR="00983F86">
        <w:t xml:space="preserve"> not be achievable</w:t>
      </w:r>
      <w:r w:rsidR="00684420">
        <w:t>. This is needed</w:t>
      </w:r>
      <w:r w:rsidR="00983F86">
        <w:t xml:space="preserve"> </w:t>
      </w:r>
      <w:r w:rsidR="004030FF">
        <w:t>to show that permit requirements have been met</w:t>
      </w:r>
      <w:r w:rsidRPr="00345C69">
        <w:t xml:space="preserve">. The guidelines </w:t>
      </w:r>
      <w:r w:rsidR="006036B5">
        <w:t xml:space="preserve">for how to investigate for shallow groundwater are summarized in </w:t>
      </w:r>
      <w:r w:rsidR="006036B5" w:rsidRPr="00684420">
        <w:rPr>
          <w:b/>
        </w:rPr>
        <w:t>Table 2.</w:t>
      </w:r>
      <w:r w:rsidR="00174D14" w:rsidRPr="00684420">
        <w:rPr>
          <w:b/>
        </w:rPr>
        <w:t>2</w:t>
      </w:r>
      <w:r w:rsidR="006036B5">
        <w:t xml:space="preserve">; however, these guidelines should not be </w:t>
      </w:r>
      <w:r w:rsidRPr="00345C69">
        <w:t xml:space="preserve">interpreted as all-inclusive. The size and complexity of the project will drive the </w:t>
      </w:r>
      <w:r>
        <w:t>extent</w:t>
      </w:r>
      <w:r w:rsidRPr="00345C69">
        <w:t xml:space="preserve"> of any subsurface investigation.</w:t>
      </w:r>
      <w:r w:rsidR="001738AD">
        <w:t xml:space="preserve"> Regardless of the results of the initial site screening, soils borings and infiltration tests should be performed to verify site soil conditions.</w:t>
      </w:r>
    </w:p>
    <w:p w14:paraId="4BFF2207" w14:textId="77777777" w:rsidR="00983F86" w:rsidRPr="001F046A" w:rsidRDefault="00983F86" w:rsidP="00983F86">
      <w:pPr>
        <w:pStyle w:val="LFTHeading3"/>
        <w:rPr>
          <w:i/>
        </w:rPr>
      </w:pPr>
      <w:r>
        <w:t xml:space="preserve">2.2.4 </w:t>
      </w:r>
      <w:r w:rsidRPr="001F046A">
        <w:t>What are General Stormwater Management Guidelines for Areas with S</w:t>
      </w:r>
      <w:r>
        <w:t xml:space="preserve">hallow </w:t>
      </w:r>
      <w:r w:rsidRPr="001F046A">
        <w:t>Groundwater?</w:t>
      </w:r>
    </w:p>
    <w:p w14:paraId="15C931B3" w14:textId="77777777" w:rsidR="00983F86" w:rsidRPr="00AD18D1" w:rsidRDefault="00983F86" w:rsidP="00983F86">
      <w:pPr>
        <w:pStyle w:val="LFTBody"/>
      </w:pPr>
      <w:r w:rsidRPr="00AD18D1">
        <w:t xml:space="preserve">The </w:t>
      </w:r>
      <w:r>
        <w:t>following investigations and design variants are HIGHLY RECOMMENDED for infiltration BMPs proposed to be located in areas of shallow groundwater:</w:t>
      </w:r>
    </w:p>
    <w:p w14:paraId="62845A9F" w14:textId="77777777" w:rsidR="00983F86" w:rsidRPr="00B55DEA" w:rsidRDefault="00983F86" w:rsidP="00983F86">
      <w:pPr>
        <w:pStyle w:val="LFTBullet1"/>
      </w:pPr>
      <w:r w:rsidRPr="00AF0C02">
        <w:rPr>
          <w:b/>
        </w:rPr>
        <w:t>Conduct thorough geotechnical investigations with geotechnical analyses</w:t>
      </w:r>
      <w:r>
        <w:t xml:space="preserve"> similar to those recommended for Karst regions</w:t>
      </w:r>
      <w:r w:rsidRPr="00B55DEA">
        <w:t>.</w:t>
      </w:r>
    </w:p>
    <w:p w14:paraId="0A956141" w14:textId="77777777" w:rsidR="00983F86" w:rsidRPr="00B55DEA" w:rsidRDefault="00983F86" w:rsidP="00983F86">
      <w:pPr>
        <w:pStyle w:val="LFTBullet1"/>
      </w:pPr>
      <w:r w:rsidRPr="00AF0C02">
        <w:rPr>
          <w:b/>
        </w:rPr>
        <w:t>Conclude the site to be infeasible for infiltration BMPs where a minimum 3 foot separation between the bottom of the BMP and groundwater cannot be achieved.</w:t>
      </w:r>
      <w:r>
        <w:t xml:space="preserve"> The CGP prohibits infiltration BMPs when the separation distance is less than 3 feet.</w:t>
      </w:r>
    </w:p>
    <w:p w14:paraId="1FC0A5C6" w14:textId="2349D6C9" w:rsidR="00983F86" w:rsidRPr="002D216D" w:rsidRDefault="00983F86" w:rsidP="00983F86">
      <w:pPr>
        <w:pStyle w:val="LFTBullet1"/>
      </w:pPr>
      <w:r w:rsidRPr="00AF0C02">
        <w:rPr>
          <w:b/>
        </w:rPr>
        <w:lastRenderedPageBreak/>
        <w:t>Consider stormwater wetlands</w:t>
      </w:r>
      <w:r w:rsidRPr="002D216D">
        <w:t xml:space="preserve"> </w:t>
      </w:r>
      <w:r w:rsidRPr="00AF0C02">
        <w:rPr>
          <w:b/>
        </w:rPr>
        <w:t>which require a shallower ponding depth than stormwater ponds.</w:t>
      </w:r>
      <w:r w:rsidRPr="002D216D">
        <w:t xml:space="preserve"> </w:t>
      </w:r>
      <w:r>
        <w:t xml:space="preserve">The disadvantage </w:t>
      </w:r>
      <w:r w:rsidR="00684420">
        <w:t>of</w:t>
      </w:r>
      <w:r>
        <w:t xml:space="preserve"> stormwater wetlands is that the shal</w:t>
      </w:r>
      <w:r w:rsidR="00684420">
        <w:t>low depth of the</w:t>
      </w:r>
      <w:r>
        <w:t xml:space="preserve"> wetlands often creates footprints that are larger than ponds. </w:t>
      </w:r>
    </w:p>
    <w:p w14:paraId="3CA46862" w14:textId="62C1AE04" w:rsidR="00983F86" w:rsidRPr="00D75E3D" w:rsidRDefault="00983F86" w:rsidP="00983F86">
      <w:pPr>
        <w:pStyle w:val="LFTBullet1"/>
      </w:pPr>
      <w:r w:rsidRPr="00AF0C02">
        <w:rPr>
          <w:b/>
        </w:rPr>
        <w:t>Consider a stormwater pond that will intercept the groundwater table.</w:t>
      </w:r>
      <w:r w:rsidRPr="00D75E3D">
        <w:t xml:space="preserve"> This approach requires close examination of the land uses to assess the potential for </w:t>
      </w:r>
      <w:r>
        <w:t>stormwater hotspot</w:t>
      </w:r>
      <w:r w:rsidRPr="00D75E3D">
        <w:t xml:space="preserve"> or other highly concentrated runoff sources that would contribute excess p</w:t>
      </w:r>
      <w:r>
        <w:t xml:space="preserve">ollutants to the groundwater. </w:t>
      </w:r>
      <w:r w:rsidRPr="00D75E3D">
        <w:t>If a </w:t>
      </w:r>
      <w:r>
        <w:t>stormwater hotspot</w:t>
      </w:r>
      <w:r w:rsidRPr="00D75E3D">
        <w:t> is identified as a contributor</w:t>
      </w:r>
      <w:r w:rsidR="00684420">
        <w:t>,</w:t>
      </w:r>
      <w:r w:rsidRPr="00D75E3D">
        <w:t xml:space="preserve"> then it is the recommendation of the MPCA that the pond include a liner to protect against groundwater contamination.</w:t>
      </w:r>
    </w:p>
    <w:p w14:paraId="6BF5B3C9" w14:textId="3B3DB6DB" w:rsidR="00983F86" w:rsidRPr="00684420" w:rsidRDefault="00983F86" w:rsidP="00684420">
      <w:pPr>
        <w:pStyle w:val="LFTBody"/>
        <w:rPr>
          <w:b/>
          <w:i/>
        </w:rPr>
      </w:pPr>
      <w:r w:rsidRPr="001F046A">
        <w:t>MPCA is often asked why it allows a sedimentation pond (no liner) to be constructed that may intercept the water table, but require a minimum of 3 feet of separation from the bottom of any constructed infiltration practice and the water table. The treatment processes for these two practices are very different and may help to explain the requirements. A stormwater pond achieves pollutant removal through the process of settling of suspended solids. If the basin is large enough, contains vegetation, and has a long detention time, additional treatment through biological uptake and microbial action can also occur. An infiltration practice removes pollutants through filtering that occurs in the</w:t>
      </w:r>
      <w:r>
        <w:t xml:space="preserve"> minimum</w:t>
      </w:r>
      <w:r w:rsidRPr="001F046A">
        <w:t xml:space="preserve"> 3 foot unsaturated soil layer beneath the practice along with the biologic and microbial activity that takes place in the layer under aerobic conditions. </w:t>
      </w:r>
    </w:p>
    <w:p w14:paraId="09A03DFE" w14:textId="647ED15A" w:rsidR="001F046A" w:rsidRPr="001F046A" w:rsidRDefault="001F046A" w:rsidP="006F4324">
      <w:pPr>
        <w:pStyle w:val="LFTHeading2"/>
        <w:numPr>
          <w:ilvl w:val="1"/>
          <w:numId w:val="8"/>
        </w:numPr>
      </w:pPr>
      <w:r w:rsidRPr="001F046A">
        <w:t>Shallow Depth to Bedrock</w:t>
      </w:r>
    </w:p>
    <w:p w14:paraId="6376EDFC" w14:textId="77777777" w:rsidR="001F046A" w:rsidRPr="001F046A" w:rsidRDefault="001F046A" w:rsidP="006B4887">
      <w:pPr>
        <w:pStyle w:val="LFTHeading3"/>
        <w:rPr>
          <w:i/>
        </w:rPr>
      </w:pPr>
      <w:r w:rsidRPr="001F046A">
        <w:t>2.3.1 What is Shallow Depth to Bedrock?</w:t>
      </w:r>
    </w:p>
    <w:p w14:paraId="6494C149" w14:textId="2B8B00BA" w:rsidR="004A4AC6" w:rsidRDefault="001F046A" w:rsidP="003F7B49">
      <w:pPr>
        <w:pStyle w:val="LFTBody"/>
      </w:pPr>
      <w:r w:rsidRPr="002D216D">
        <w:t>Sites with shallow bedrock are defined as</w:t>
      </w:r>
      <w:r w:rsidR="00E75431">
        <w:t xml:space="preserve"> sites having</w:t>
      </w:r>
      <w:r w:rsidRPr="002D216D">
        <w:t xml:space="preserve"> bedrock within </w:t>
      </w:r>
      <w:r>
        <w:t>6</w:t>
      </w:r>
      <w:r w:rsidRPr="002D216D">
        <w:t xml:space="preserve"> feet or less of the ground surface</w:t>
      </w:r>
      <w:r w:rsidR="003F7B49">
        <w:t>..</w:t>
      </w:r>
      <w:r w:rsidR="003170C0">
        <w:t xml:space="preserve"> </w:t>
      </w:r>
      <w:r w:rsidRPr="002D216D">
        <w:t>Shallow bedrock is found in many portions of the state, but is a particular problem in the northeastern region (</w:t>
      </w:r>
      <w:r w:rsidRPr="002D216D">
        <w:rPr>
          <w:b/>
        </w:rPr>
        <w:t xml:space="preserve">Figure </w:t>
      </w:r>
      <w:r w:rsidR="006B4887">
        <w:rPr>
          <w:b/>
        </w:rPr>
        <w:t>2.</w:t>
      </w:r>
      <w:r w:rsidR="00FB43F3">
        <w:rPr>
          <w:b/>
        </w:rPr>
        <w:t>2</w:t>
      </w:r>
      <w:r w:rsidRPr="002D216D">
        <w:t>).</w:t>
      </w:r>
      <w:r w:rsidR="005E6EA3">
        <w:t xml:space="preserve"> When installing an infiltration BMP, there must be at least 3 feet of separation between the base of the BMP and the bedrock per the </w:t>
      </w:r>
      <w:hyperlink r:id="rId21" w:history="1">
        <w:r w:rsidR="005E6EA3" w:rsidRPr="005E6EA3">
          <w:rPr>
            <w:rStyle w:val="Hyperlink"/>
          </w:rPr>
          <w:t>Minnesota CGP</w:t>
        </w:r>
      </w:hyperlink>
      <w:r w:rsidR="005E6EA3" w:rsidRPr="002D216D">
        <w:t xml:space="preserve">. </w:t>
      </w:r>
      <w:r w:rsidR="005E6EA3">
        <w:t>Bedrock at the 6 foot depth is a trigger to perform a geotechnical investigation to determine the location of the bedrock in the area in and around the proposed BMP to ensure that the 3 foot separation can be achieved.</w:t>
      </w:r>
      <w:r w:rsidR="00CB4658">
        <w:t xml:space="preserve"> </w:t>
      </w:r>
      <w:r w:rsidR="004A4AC6">
        <w:br w:type="page"/>
      </w:r>
    </w:p>
    <w:p w14:paraId="1E6E3609" w14:textId="0B96BE67" w:rsidR="004030FF" w:rsidRDefault="00184C00" w:rsidP="006B4887">
      <w:pPr>
        <w:pStyle w:val="LFTBody"/>
      </w:pPr>
      <w:r>
        <w:rPr>
          <w:noProof/>
          <w:lang w:bidi="ar-SA"/>
        </w:rPr>
        <w:lastRenderedPageBreak/>
        <w:drawing>
          <wp:inline distT="0" distB="0" distL="0" distR="0" wp14:anchorId="31133004" wp14:editId="641B6102">
            <wp:extent cx="2757619" cy="35687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77158" cy="3593986"/>
                    </a:xfrm>
                    <a:prstGeom prst="rect">
                      <a:avLst/>
                    </a:prstGeom>
                  </pic:spPr>
                </pic:pic>
              </a:graphicData>
            </a:graphic>
          </wp:inline>
        </w:drawing>
      </w:r>
    </w:p>
    <w:p w14:paraId="100AF959" w14:textId="3EE13D2D" w:rsidR="004030FF" w:rsidRPr="000A2FCC" w:rsidRDefault="004030FF" w:rsidP="006B4887">
      <w:pPr>
        <w:pStyle w:val="LFTBody"/>
        <w:rPr>
          <w:rFonts w:asciiTheme="majorHAnsi" w:hAnsiTheme="majorHAnsi"/>
        </w:rPr>
      </w:pPr>
      <w:r w:rsidRPr="000A2FCC">
        <w:rPr>
          <w:rFonts w:asciiTheme="majorHAnsi" w:hAnsiTheme="majorHAnsi"/>
          <w:b/>
        </w:rPr>
        <w:t>Figure 2.2 Bedrock Outcroppings Areas in Northern Minnesota</w:t>
      </w:r>
      <w:r w:rsidRPr="000A2FCC">
        <w:rPr>
          <w:rFonts w:asciiTheme="majorHAnsi" w:hAnsiTheme="majorHAnsi"/>
        </w:rPr>
        <w:t xml:space="preserve"> (</w:t>
      </w:r>
      <w:r w:rsidR="00896BC5">
        <w:rPr>
          <w:rFonts w:asciiTheme="majorHAnsi" w:hAnsiTheme="majorHAnsi"/>
        </w:rPr>
        <w:t>Source:</w:t>
      </w:r>
      <w:r w:rsidR="00174D14" w:rsidRPr="000A2FCC">
        <w:rPr>
          <w:rFonts w:asciiTheme="majorHAnsi" w:hAnsiTheme="majorHAnsi"/>
        </w:rPr>
        <w:t xml:space="preserve"> MN DNR</w:t>
      </w:r>
      <w:r w:rsidR="00896BC5">
        <w:rPr>
          <w:rFonts w:asciiTheme="majorHAnsi" w:hAnsiTheme="majorHAnsi"/>
        </w:rPr>
        <w:t>, with permission</w:t>
      </w:r>
      <w:r w:rsidR="00174D14" w:rsidRPr="000A2FCC">
        <w:rPr>
          <w:rFonts w:asciiTheme="majorHAnsi" w:hAnsiTheme="majorHAnsi"/>
        </w:rPr>
        <w:t xml:space="preserve">. </w:t>
      </w:r>
      <w:r w:rsidR="00673B82" w:rsidRPr="000A2FCC">
        <w:rPr>
          <w:rFonts w:asciiTheme="majorHAnsi" w:hAnsiTheme="majorHAnsi"/>
        </w:rPr>
        <w:t>Map is from the Minnesota DNR Lands and Minerals Division and depth to bedrock grid data is from the Minnesota Geological Survey)</w:t>
      </w:r>
    </w:p>
    <w:p w14:paraId="39C802DC" w14:textId="77777777" w:rsidR="001F046A" w:rsidRPr="002D216D" w:rsidRDefault="006B4887" w:rsidP="006B4887">
      <w:pPr>
        <w:pStyle w:val="LFTHeading3"/>
      </w:pPr>
      <w:r>
        <w:t xml:space="preserve">2.3.2 </w:t>
      </w:r>
      <w:r w:rsidR="001F046A" w:rsidRPr="001F046A">
        <w:t>Why is Shallow Depth to Bedrock a Concern?</w:t>
      </w:r>
    </w:p>
    <w:p w14:paraId="492276A2" w14:textId="551897F9" w:rsidR="001F046A" w:rsidRPr="002D216D" w:rsidRDefault="001F046A" w:rsidP="006B4887">
      <w:pPr>
        <w:pStyle w:val="LFTBody"/>
        <w:rPr>
          <w:b/>
          <w:i/>
        </w:rPr>
      </w:pPr>
      <w:r>
        <w:t>Shallow</w:t>
      </w:r>
      <w:r w:rsidRPr="002D216D">
        <w:t xml:space="preserve"> bedrock impacts the depths of pond/basin BMPs and impacts the </w:t>
      </w:r>
      <w:r>
        <w:t>depth of subsurface for infiltration BMPs</w:t>
      </w:r>
      <w:r w:rsidRPr="002D216D">
        <w:t>. These sites present challenges to stormwater management</w:t>
      </w:r>
      <w:r w:rsidR="00CB4658">
        <w:t>, however</w:t>
      </w:r>
      <w:r w:rsidRPr="002D216D">
        <w:t xml:space="preserve"> these challenges can be managed. General guidelines</w:t>
      </w:r>
      <w:r w:rsidR="00684420">
        <w:t xml:space="preserve"> for investigation and management</w:t>
      </w:r>
      <w:r w:rsidRPr="002D216D">
        <w:t xml:space="preserve"> are presented below. Special caution for steep slopes and </w:t>
      </w:r>
      <w:r>
        <w:t xml:space="preserve">fractured </w:t>
      </w:r>
      <w:r w:rsidRPr="002D216D">
        <w:t xml:space="preserve">bedrock is </w:t>
      </w:r>
      <w:r>
        <w:t>urged</w:t>
      </w:r>
      <w:r w:rsidRPr="002D216D">
        <w:t>.</w:t>
      </w:r>
    </w:p>
    <w:p w14:paraId="298F483D" w14:textId="0C7AF611" w:rsidR="001F046A" w:rsidRPr="001F046A" w:rsidRDefault="006B4887" w:rsidP="006B4887">
      <w:pPr>
        <w:pStyle w:val="LFTHeading3"/>
        <w:rPr>
          <w:i/>
        </w:rPr>
      </w:pPr>
      <w:r>
        <w:t>2.3.</w:t>
      </w:r>
      <w:r w:rsidR="00146D95">
        <w:t xml:space="preserve">3 </w:t>
      </w:r>
      <w:r w:rsidR="001F046A" w:rsidRPr="001F046A">
        <w:t>How to Investigate for Shallow Bedrock</w:t>
      </w:r>
    </w:p>
    <w:p w14:paraId="78D31F07" w14:textId="37E2D65C" w:rsidR="006036B5" w:rsidRDefault="00FB11FD" w:rsidP="006B4887">
      <w:pPr>
        <w:pStyle w:val="LFTBody"/>
      </w:pPr>
      <w:r>
        <w:t xml:space="preserve">It is important to understand the general depth to bedrock over the entire site, but more specifically it is important to know the depth to bedrock in and around the area of the proposed BMP. </w:t>
      </w:r>
      <w:r w:rsidR="001F046A" w:rsidRPr="00345C69">
        <w:t xml:space="preserve">Geotechnical investigations are recommended for all proposed stormwater facilities located in regions with shallow bedrock. The purpose of the investigation is to identify subsurface conditions which </w:t>
      </w:r>
      <w:r w:rsidR="00684420" w:rsidRPr="00345C69">
        <w:t>c</w:t>
      </w:r>
      <w:r w:rsidR="00684420">
        <w:t>an</w:t>
      </w:r>
      <w:r w:rsidR="00684420" w:rsidRPr="00345C69">
        <w:t xml:space="preserve"> </w:t>
      </w:r>
      <w:r w:rsidR="001F046A" w:rsidRPr="00345C69">
        <w:t xml:space="preserve">pose an environmental concern or a construction hazard to a proposed stormwater management practice. </w:t>
      </w:r>
      <w:r w:rsidR="006036B5" w:rsidRPr="00345C69">
        <w:t xml:space="preserve">The guidelines </w:t>
      </w:r>
      <w:r w:rsidR="006036B5">
        <w:t xml:space="preserve">for how to investigate for shallow bedrock are summarized in </w:t>
      </w:r>
      <w:r w:rsidR="006036B5" w:rsidRPr="004524E2">
        <w:rPr>
          <w:b/>
        </w:rPr>
        <w:t>Table 2.</w:t>
      </w:r>
      <w:r w:rsidR="00684420">
        <w:rPr>
          <w:b/>
        </w:rPr>
        <w:t>2</w:t>
      </w:r>
      <w:r w:rsidR="006036B5">
        <w:t xml:space="preserve">; however, these guidelines should not be </w:t>
      </w:r>
      <w:r w:rsidR="006036B5" w:rsidRPr="00345C69">
        <w:t xml:space="preserve">interpreted as all-inclusive. The size and complexity of the project will drive the </w:t>
      </w:r>
      <w:r w:rsidR="006036B5">
        <w:t>extent</w:t>
      </w:r>
      <w:r w:rsidR="006036B5" w:rsidRPr="00345C69">
        <w:t xml:space="preserve"> of any subsurface investigation.</w:t>
      </w:r>
    </w:p>
    <w:p w14:paraId="1E83D3A6" w14:textId="77777777" w:rsidR="00CB4658" w:rsidRDefault="00CB4658" w:rsidP="00146D95">
      <w:pPr>
        <w:pStyle w:val="LFTHeading3"/>
      </w:pPr>
    </w:p>
    <w:p w14:paraId="425B4F29" w14:textId="77777777" w:rsidR="00CB4658" w:rsidRDefault="00CB4658" w:rsidP="00146D95">
      <w:pPr>
        <w:pStyle w:val="LFTHeading3"/>
      </w:pPr>
    </w:p>
    <w:p w14:paraId="43F8B927" w14:textId="77777777" w:rsidR="00CB4658" w:rsidRDefault="00CB4658" w:rsidP="00146D95">
      <w:pPr>
        <w:pStyle w:val="LFTHeading3"/>
      </w:pPr>
    </w:p>
    <w:p w14:paraId="6921B67D" w14:textId="77777777" w:rsidR="00146D95" w:rsidRPr="001F046A" w:rsidRDefault="00146D95" w:rsidP="00146D95">
      <w:pPr>
        <w:pStyle w:val="LFTHeading3"/>
        <w:rPr>
          <w:i/>
        </w:rPr>
      </w:pPr>
      <w:r>
        <w:lastRenderedPageBreak/>
        <w:t xml:space="preserve">2.3.4 </w:t>
      </w:r>
      <w:r w:rsidRPr="001F046A">
        <w:t>What are General Stormwater Management Guidelines for Areas with Shallow Bedrock?</w:t>
      </w:r>
      <w:r w:rsidRPr="001F046A" w:rsidDel="000C2575">
        <w:t xml:space="preserve"> </w:t>
      </w:r>
    </w:p>
    <w:p w14:paraId="4D62D4E4" w14:textId="32CB577A" w:rsidR="00146D95" w:rsidRPr="00EB7CB7" w:rsidRDefault="00146D95" w:rsidP="00146D95">
      <w:pPr>
        <w:pStyle w:val="LFTBody"/>
      </w:pPr>
      <w:r w:rsidRPr="00AD18D1">
        <w:t xml:space="preserve">The </w:t>
      </w:r>
      <w:r>
        <w:t>following investigations</w:t>
      </w:r>
      <w:r w:rsidR="00684420">
        <w:t xml:space="preserve"> and</w:t>
      </w:r>
      <w:r>
        <w:t xml:space="preserve"> </w:t>
      </w:r>
      <w:r w:rsidR="00FB11FD">
        <w:t xml:space="preserve">guidelines are </w:t>
      </w:r>
      <w:r>
        <w:t>HIGHLY RECOMMENDED for infiltration and other BMPs proposed to be located in areas with shallow depth to bedrock:</w:t>
      </w:r>
    </w:p>
    <w:p w14:paraId="638E15DA" w14:textId="77777777" w:rsidR="00146D95" w:rsidRPr="007B7C9C" w:rsidRDefault="00146D95" w:rsidP="00146D95">
      <w:pPr>
        <w:pStyle w:val="LFTBullet1"/>
      </w:pPr>
      <w:r w:rsidRPr="007B7C9C">
        <w:rPr>
          <w:b/>
        </w:rPr>
        <w:t>Conduct thorough geotechnical investigations in areas with suspected or documented shallow bedrock.</w:t>
      </w:r>
      <w:r w:rsidRPr="007B7C9C">
        <w:t xml:space="preserve"> Perform site geotechnical analysis similar to karst.</w:t>
      </w:r>
    </w:p>
    <w:p w14:paraId="5CE94308" w14:textId="105AE000" w:rsidR="00146D95" w:rsidRPr="007B7C9C" w:rsidRDefault="005E6EA3" w:rsidP="00146D95">
      <w:pPr>
        <w:pStyle w:val="LFTBullet1"/>
      </w:pPr>
      <w:r w:rsidRPr="007B7C9C">
        <w:rPr>
          <w:b/>
        </w:rPr>
        <w:t xml:space="preserve">Consider a non-infiltration BMP or moving the BMP to a location on site with sufficient depth to bedrock if the required 3-foot separation </w:t>
      </w:r>
      <w:r w:rsidR="00146D95" w:rsidRPr="007B7C9C">
        <w:rPr>
          <w:b/>
        </w:rPr>
        <w:t>cannot be achieved</w:t>
      </w:r>
      <w:r w:rsidR="00146D95" w:rsidRPr="007B7C9C">
        <w:t xml:space="preserve">. </w:t>
      </w:r>
      <w:r w:rsidR="00684420" w:rsidRPr="007B7C9C">
        <w:t>It may be possible to move the infiltration BMP to another location in order to achieve this separation.</w:t>
      </w:r>
    </w:p>
    <w:p w14:paraId="7BBD66E4" w14:textId="77777777" w:rsidR="00146D95" w:rsidRPr="00D91C6D" w:rsidRDefault="00146D95" w:rsidP="00146D95">
      <w:pPr>
        <w:pStyle w:val="LFTBullet1"/>
      </w:pPr>
      <w:r w:rsidRPr="00AF0C02">
        <w:rPr>
          <w:b/>
        </w:rPr>
        <w:t>Consider shallow ponding depths up to 12 inches</w:t>
      </w:r>
      <w:r>
        <w:t xml:space="preserve"> for </w:t>
      </w:r>
      <w:r w:rsidRPr="002D216D">
        <w:t>filters, swales, and bioretention.</w:t>
      </w:r>
    </w:p>
    <w:p w14:paraId="2C2122A1" w14:textId="77777777" w:rsidR="00146D95" w:rsidRPr="002D216D" w:rsidRDefault="00146D95" w:rsidP="00146D95">
      <w:pPr>
        <w:pStyle w:val="LFTBullet1"/>
      </w:pPr>
      <w:r w:rsidRPr="00AF0C02">
        <w:rPr>
          <w:b/>
        </w:rPr>
        <w:t>Conclude that infiltration of stormwater runoff from stormwater hotspots is not feasible</w:t>
      </w:r>
      <w:r w:rsidRPr="002D216D">
        <w:t xml:space="preserve"> due to potential for connections with bedrock fracture zones.</w:t>
      </w:r>
    </w:p>
    <w:p w14:paraId="0E3A4040" w14:textId="4358F8A6" w:rsidR="00146D95" w:rsidRPr="002D216D" w:rsidRDefault="00146D95" w:rsidP="00146D95">
      <w:pPr>
        <w:pStyle w:val="LFTBullet1"/>
      </w:pPr>
      <w:r w:rsidRPr="00AF0C02">
        <w:rPr>
          <w:b/>
        </w:rPr>
        <w:t>Consider stormwater wetlands which have shallower ponding depths than stormwater ponds</w:t>
      </w:r>
      <w:r w:rsidR="00217E18">
        <w:rPr>
          <w:b/>
        </w:rPr>
        <w:t xml:space="preserve">. </w:t>
      </w:r>
      <w:r>
        <w:t xml:space="preserve">The disadvantage is that the shallow depths result in basins with large footprints which may not be feasible on small sites. </w:t>
      </w:r>
    </w:p>
    <w:p w14:paraId="6BBF8ED8" w14:textId="77777777" w:rsidR="00146D95" w:rsidRDefault="00146D95" w:rsidP="00146D95">
      <w:pPr>
        <w:pStyle w:val="LFTBody"/>
      </w:pPr>
      <w:r>
        <w:rPr>
          <w:b/>
        </w:rPr>
        <w:t>Table 2.3</w:t>
      </w:r>
      <w:r w:rsidRPr="002D216D">
        <w:t xml:space="preserve"> provides an overview of shallow bedrock and soil related design considerations for different structural practice groups.</w:t>
      </w:r>
    </w:p>
    <w:p w14:paraId="739356B6" w14:textId="77777777" w:rsidR="00CB4658" w:rsidRDefault="00CB4658">
      <w:pPr>
        <w:spacing w:line="276" w:lineRule="auto"/>
        <w:rPr>
          <w:rFonts w:asciiTheme="majorHAnsi" w:hAnsiTheme="majorHAnsi"/>
          <w:b/>
          <w:bCs/>
          <w:sz w:val="21"/>
        </w:rPr>
      </w:pPr>
      <w:r>
        <w:br w:type="page"/>
      </w:r>
    </w:p>
    <w:p w14:paraId="2ED7EC21" w14:textId="095A9859" w:rsidR="00146D95" w:rsidRPr="00FF3D50" w:rsidRDefault="00146D95" w:rsidP="00146D95">
      <w:pPr>
        <w:pStyle w:val="LFTTableTitle"/>
        <w:rPr>
          <w:b w:val="0"/>
        </w:rPr>
      </w:pPr>
      <w:r w:rsidRPr="00FF3D50">
        <w:lastRenderedPageBreak/>
        <w:t>Table 2.</w:t>
      </w:r>
      <w:r>
        <w:t>3</w:t>
      </w:r>
      <w:r w:rsidRPr="00FF3D50">
        <w:t xml:space="preserve"> Recommendation for Structural BMP use in Settings with Shallow Depth to Bedrock. </w:t>
      </w:r>
      <w:r w:rsidRPr="00FF3D50">
        <w:rPr>
          <w:b w:val="0"/>
        </w:rPr>
        <w:t>The CGP requires a liner for bioretention, media filter, vegetative filter, and infiltration trench/basins if 3 feet is not present between practice bottom and bedrock.</w:t>
      </w:r>
    </w:p>
    <w:tbl>
      <w:tblPr>
        <w:tblStyle w:val="TableGrid"/>
        <w:tblW w:w="0" w:type="auto"/>
        <w:tblLook w:val="04A0" w:firstRow="1" w:lastRow="0" w:firstColumn="1" w:lastColumn="0" w:noHBand="0" w:noVBand="1"/>
      </w:tblPr>
      <w:tblGrid>
        <w:gridCol w:w="2800"/>
        <w:gridCol w:w="6363"/>
      </w:tblGrid>
      <w:tr w:rsidR="00146D95" w:rsidRPr="00313102" w14:paraId="279A15BD" w14:textId="77777777" w:rsidTr="007308F1">
        <w:tc>
          <w:tcPr>
            <w:tcW w:w="2358" w:type="dxa"/>
            <w:tcBorders>
              <w:top w:val="single" w:sz="4" w:space="0" w:color="auto"/>
              <w:left w:val="single" w:sz="4" w:space="0" w:color="auto"/>
              <w:bottom w:val="single" w:sz="4" w:space="0" w:color="auto"/>
              <w:right w:val="single" w:sz="4" w:space="0" w:color="FFFBF0" w:themeColor="background1"/>
            </w:tcBorders>
            <w:shd w:val="clear" w:color="auto" w:fill="00539B" w:themeFill="text2"/>
            <w:hideMark/>
          </w:tcPr>
          <w:p w14:paraId="2C8A8AFA" w14:textId="77777777" w:rsidR="00146D95" w:rsidRPr="006B4887" w:rsidRDefault="00146D95" w:rsidP="007308F1">
            <w:pPr>
              <w:pStyle w:val="LFTTableheader2"/>
              <w:jc w:val="center"/>
              <w:rPr>
                <w:color w:val="FFFBF0" w:themeColor="background1"/>
              </w:rPr>
            </w:pPr>
            <w:r w:rsidRPr="006B4887">
              <w:rPr>
                <w:color w:val="FFFBF0" w:themeColor="background1"/>
              </w:rPr>
              <w:t>BMP</w:t>
            </w:r>
          </w:p>
        </w:tc>
        <w:tc>
          <w:tcPr>
            <w:tcW w:w="6390" w:type="dxa"/>
            <w:tcBorders>
              <w:top w:val="single" w:sz="4" w:space="0" w:color="auto"/>
              <w:left w:val="single" w:sz="4" w:space="0" w:color="FFFBF0" w:themeColor="background1"/>
              <w:bottom w:val="single" w:sz="4" w:space="0" w:color="auto"/>
              <w:right w:val="single" w:sz="4" w:space="0" w:color="auto"/>
            </w:tcBorders>
            <w:shd w:val="clear" w:color="auto" w:fill="00539B" w:themeFill="text2"/>
            <w:hideMark/>
          </w:tcPr>
          <w:p w14:paraId="5A025C41" w14:textId="77777777" w:rsidR="00146D95" w:rsidRPr="006B4887" w:rsidRDefault="00146D95" w:rsidP="007308F1">
            <w:pPr>
              <w:pStyle w:val="LFTTableheader2"/>
              <w:jc w:val="center"/>
              <w:rPr>
                <w:color w:val="FFFBF0" w:themeColor="background1"/>
              </w:rPr>
            </w:pPr>
            <w:r>
              <w:rPr>
                <w:color w:val="FFFBF0" w:themeColor="background1"/>
              </w:rPr>
              <w:t xml:space="preserve">Shallow </w:t>
            </w:r>
            <w:r w:rsidRPr="006B4887">
              <w:rPr>
                <w:color w:val="FFFBF0" w:themeColor="background1"/>
              </w:rPr>
              <w:t>depth to bedrock considerations</w:t>
            </w:r>
          </w:p>
        </w:tc>
      </w:tr>
      <w:tr w:rsidR="00146D95" w:rsidRPr="00175054" w14:paraId="5C3A5E57" w14:textId="77777777" w:rsidTr="007308F1">
        <w:trPr>
          <w:trHeight w:val="440"/>
        </w:trPr>
        <w:tc>
          <w:tcPr>
            <w:tcW w:w="2358" w:type="dxa"/>
            <w:tcBorders>
              <w:top w:val="single" w:sz="4" w:space="0" w:color="auto"/>
              <w:left w:val="single" w:sz="4" w:space="0" w:color="auto"/>
              <w:bottom w:val="single" w:sz="4" w:space="0" w:color="auto"/>
              <w:right w:val="single" w:sz="4" w:space="0" w:color="auto"/>
            </w:tcBorders>
            <w:hideMark/>
          </w:tcPr>
          <w:p w14:paraId="5D40AB41" w14:textId="77777777" w:rsidR="00146D95" w:rsidRPr="00175054" w:rsidRDefault="00146D95" w:rsidP="007308F1">
            <w:pPr>
              <w:pStyle w:val="LFTTabletext"/>
              <w:spacing w:after="0"/>
              <w:jc w:val="center"/>
              <w:rPr>
                <w:szCs w:val="18"/>
              </w:rPr>
            </w:pPr>
            <w:r w:rsidRPr="00175054">
              <w:rPr>
                <w:rFonts w:ascii="Calibri" w:hAnsi="Calibri"/>
                <w:szCs w:val="18"/>
              </w:rPr>
              <w:t>Bioretention</w:t>
            </w:r>
          </w:p>
        </w:tc>
        <w:tc>
          <w:tcPr>
            <w:tcW w:w="6390" w:type="dxa"/>
            <w:tcBorders>
              <w:top w:val="single" w:sz="4" w:space="0" w:color="auto"/>
              <w:left w:val="single" w:sz="4" w:space="0" w:color="auto"/>
              <w:bottom w:val="single" w:sz="4" w:space="0" w:color="auto"/>
              <w:right w:val="single" w:sz="4" w:space="0" w:color="auto"/>
            </w:tcBorders>
            <w:hideMark/>
          </w:tcPr>
          <w:p w14:paraId="14F6D447" w14:textId="364F00D3" w:rsidR="00146D95" w:rsidRPr="00896BC5" w:rsidRDefault="00146D95" w:rsidP="007B7C9C">
            <w:pPr>
              <w:pStyle w:val="LFTBullet1"/>
              <w:ind w:left="224" w:hanging="172"/>
              <w:rPr>
                <w:rFonts w:ascii="Calibri" w:hAnsi="Calibri"/>
                <w:szCs w:val="18"/>
              </w:rPr>
            </w:pPr>
            <w:r w:rsidRPr="00896BC5">
              <w:rPr>
                <w:rFonts w:ascii="Calibri" w:hAnsi="Calibri"/>
                <w:sz w:val="18"/>
                <w:szCs w:val="18"/>
              </w:rPr>
              <w:t xml:space="preserve">Should be lined and constructed with an underdrain if minimum separation distance of </w:t>
            </w:r>
            <w:r w:rsidR="00684420" w:rsidRPr="00896BC5">
              <w:rPr>
                <w:rFonts w:ascii="Calibri" w:hAnsi="Calibri"/>
                <w:sz w:val="18"/>
                <w:szCs w:val="18"/>
              </w:rPr>
              <w:t>3</w:t>
            </w:r>
            <w:r w:rsidRPr="00896BC5">
              <w:rPr>
                <w:rFonts w:ascii="Calibri" w:hAnsi="Calibri"/>
                <w:sz w:val="18"/>
                <w:szCs w:val="18"/>
              </w:rPr>
              <w:t xml:space="preserve"> feet is not present between practice bottom and bedrock.</w:t>
            </w:r>
          </w:p>
        </w:tc>
      </w:tr>
      <w:tr w:rsidR="00146D95" w:rsidRPr="00175054" w14:paraId="7994133B" w14:textId="77777777" w:rsidTr="007308F1">
        <w:trPr>
          <w:trHeight w:val="503"/>
        </w:trPr>
        <w:tc>
          <w:tcPr>
            <w:tcW w:w="2358" w:type="dxa"/>
            <w:tcBorders>
              <w:top w:val="single" w:sz="4" w:space="0" w:color="auto"/>
              <w:left w:val="single" w:sz="4" w:space="0" w:color="auto"/>
              <w:bottom w:val="single" w:sz="4" w:space="0" w:color="auto"/>
              <w:right w:val="single" w:sz="4" w:space="0" w:color="auto"/>
            </w:tcBorders>
            <w:hideMark/>
          </w:tcPr>
          <w:p w14:paraId="46421270" w14:textId="77777777" w:rsidR="00146D95" w:rsidRPr="00175054" w:rsidRDefault="00146D95" w:rsidP="007308F1">
            <w:pPr>
              <w:pStyle w:val="LFTTabletext"/>
              <w:spacing w:after="0"/>
              <w:jc w:val="center"/>
              <w:rPr>
                <w:szCs w:val="18"/>
              </w:rPr>
            </w:pPr>
            <w:r w:rsidRPr="00175054">
              <w:rPr>
                <w:rFonts w:ascii="Calibri" w:hAnsi="Calibri"/>
                <w:szCs w:val="18"/>
              </w:rPr>
              <w:t>Media filter</w:t>
            </w:r>
          </w:p>
        </w:tc>
        <w:tc>
          <w:tcPr>
            <w:tcW w:w="6390" w:type="dxa"/>
            <w:tcBorders>
              <w:top w:val="single" w:sz="4" w:space="0" w:color="auto"/>
              <w:left w:val="single" w:sz="4" w:space="0" w:color="auto"/>
              <w:bottom w:val="single" w:sz="4" w:space="0" w:color="auto"/>
              <w:right w:val="single" w:sz="4" w:space="0" w:color="auto"/>
            </w:tcBorders>
            <w:hideMark/>
          </w:tcPr>
          <w:p w14:paraId="6FCA1C90" w14:textId="77777777" w:rsidR="00146D95" w:rsidRPr="00896BC5" w:rsidRDefault="00146D95" w:rsidP="007B7C9C">
            <w:pPr>
              <w:pStyle w:val="LFTBullet1"/>
              <w:ind w:left="224" w:hanging="172"/>
              <w:rPr>
                <w:rFonts w:ascii="Calibri" w:hAnsi="Calibri"/>
                <w:bCs/>
                <w:sz w:val="18"/>
                <w:szCs w:val="18"/>
              </w:rPr>
            </w:pPr>
            <w:r w:rsidRPr="00896BC5">
              <w:rPr>
                <w:rFonts w:ascii="Calibri" w:hAnsi="Calibri"/>
                <w:bCs/>
                <w:sz w:val="18"/>
                <w:szCs w:val="18"/>
              </w:rPr>
              <w:t>Recommended practice in areas of shallow bedrock.</w:t>
            </w:r>
          </w:p>
          <w:p w14:paraId="37B6C443" w14:textId="77777777" w:rsidR="00146D95" w:rsidRPr="00896BC5" w:rsidRDefault="00146D95" w:rsidP="007B7C9C">
            <w:pPr>
              <w:pStyle w:val="LFTBullet1"/>
              <w:ind w:left="224" w:hanging="172"/>
              <w:rPr>
                <w:rFonts w:ascii="Calibri" w:hAnsi="Calibri"/>
                <w:sz w:val="18"/>
                <w:szCs w:val="18"/>
              </w:rPr>
            </w:pPr>
            <w:r w:rsidRPr="00896BC5">
              <w:rPr>
                <w:rFonts w:ascii="Calibri" w:hAnsi="Calibri"/>
                <w:bCs/>
                <w:sz w:val="18"/>
                <w:szCs w:val="18"/>
              </w:rPr>
              <w:t>Can be located in bedrock, but will be expensive due to blasting and requires lining.</w:t>
            </w:r>
          </w:p>
        </w:tc>
      </w:tr>
      <w:tr w:rsidR="00146D95" w:rsidRPr="00175054" w14:paraId="2F3F07E6" w14:textId="77777777" w:rsidTr="007308F1">
        <w:trPr>
          <w:trHeight w:val="350"/>
        </w:trPr>
        <w:tc>
          <w:tcPr>
            <w:tcW w:w="2358" w:type="dxa"/>
            <w:tcBorders>
              <w:top w:val="single" w:sz="4" w:space="0" w:color="auto"/>
              <w:left w:val="single" w:sz="4" w:space="0" w:color="auto"/>
              <w:bottom w:val="single" w:sz="4" w:space="0" w:color="auto"/>
              <w:right w:val="single" w:sz="4" w:space="0" w:color="auto"/>
            </w:tcBorders>
            <w:hideMark/>
          </w:tcPr>
          <w:p w14:paraId="40B2B6EB" w14:textId="77777777" w:rsidR="00146D95" w:rsidRPr="00175054" w:rsidRDefault="00146D95" w:rsidP="007308F1">
            <w:pPr>
              <w:pStyle w:val="LFTTabletext"/>
              <w:spacing w:after="0"/>
              <w:jc w:val="center"/>
              <w:rPr>
                <w:szCs w:val="18"/>
              </w:rPr>
            </w:pPr>
            <w:r w:rsidRPr="00175054">
              <w:rPr>
                <w:rFonts w:ascii="Calibri" w:hAnsi="Calibri"/>
                <w:szCs w:val="18"/>
              </w:rPr>
              <w:t>Vegetative filter</w:t>
            </w:r>
          </w:p>
        </w:tc>
        <w:tc>
          <w:tcPr>
            <w:tcW w:w="6390" w:type="dxa"/>
            <w:tcBorders>
              <w:top w:val="single" w:sz="4" w:space="0" w:color="auto"/>
              <w:left w:val="single" w:sz="4" w:space="0" w:color="auto"/>
              <w:bottom w:val="single" w:sz="4" w:space="0" w:color="auto"/>
              <w:right w:val="single" w:sz="4" w:space="0" w:color="auto"/>
            </w:tcBorders>
            <w:hideMark/>
          </w:tcPr>
          <w:p w14:paraId="23203236" w14:textId="77777777" w:rsidR="00146D95" w:rsidRPr="00896BC5" w:rsidRDefault="00146D95" w:rsidP="007B7C9C">
            <w:pPr>
              <w:pStyle w:val="LFTBullet1"/>
              <w:ind w:left="224" w:hanging="172"/>
              <w:rPr>
                <w:rFonts w:ascii="Calibri" w:hAnsi="Calibri"/>
                <w:bCs/>
                <w:sz w:val="18"/>
                <w:szCs w:val="18"/>
              </w:rPr>
            </w:pPr>
            <w:r w:rsidRPr="00896BC5">
              <w:rPr>
                <w:rFonts w:ascii="Calibri" w:hAnsi="Calibri"/>
                <w:bCs/>
                <w:sz w:val="18"/>
                <w:szCs w:val="18"/>
              </w:rPr>
              <w:t>Recommended practice in areas of shallow bedrock.</w:t>
            </w:r>
          </w:p>
          <w:p w14:paraId="2532F71E" w14:textId="0BFE815D" w:rsidR="00146D95" w:rsidRPr="00896BC5" w:rsidRDefault="00146D95" w:rsidP="007B7C9C">
            <w:pPr>
              <w:pStyle w:val="LFTBullet1"/>
              <w:ind w:left="224" w:hanging="172"/>
              <w:rPr>
                <w:rFonts w:ascii="Calibri" w:hAnsi="Calibri"/>
                <w:bCs/>
                <w:sz w:val="18"/>
                <w:szCs w:val="18"/>
              </w:rPr>
            </w:pPr>
            <w:r w:rsidRPr="00896BC5">
              <w:rPr>
                <w:rFonts w:ascii="Calibri" w:hAnsi="Calibri"/>
                <w:bCs/>
                <w:sz w:val="18"/>
                <w:szCs w:val="18"/>
              </w:rPr>
              <w:t xml:space="preserve">Dry swales with engineered soil media will need lining and an underdrain if minimum separation distance of </w:t>
            </w:r>
            <w:r w:rsidR="00684420" w:rsidRPr="00896BC5">
              <w:rPr>
                <w:rFonts w:ascii="Calibri" w:hAnsi="Calibri"/>
                <w:bCs/>
                <w:sz w:val="18"/>
                <w:szCs w:val="18"/>
              </w:rPr>
              <w:t>3</w:t>
            </w:r>
            <w:r w:rsidRPr="00896BC5">
              <w:rPr>
                <w:rFonts w:ascii="Calibri" w:hAnsi="Calibri"/>
                <w:bCs/>
                <w:sz w:val="18"/>
                <w:szCs w:val="18"/>
              </w:rPr>
              <w:t xml:space="preserve"> feet is not present between practice bottom and bedrock.</w:t>
            </w:r>
          </w:p>
        </w:tc>
      </w:tr>
      <w:tr w:rsidR="00146D95" w:rsidRPr="00175054" w14:paraId="01076510" w14:textId="77777777" w:rsidTr="007308F1">
        <w:trPr>
          <w:trHeight w:val="350"/>
        </w:trPr>
        <w:tc>
          <w:tcPr>
            <w:tcW w:w="2358" w:type="dxa"/>
            <w:tcBorders>
              <w:top w:val="single" w:sz="4" w:space="0" w:color="auto"/>
              <w:left w:val="single" w:sz="4" w:space="0" w:color="auto"/>
              <w:bottom w:val="single" w:sz="4" w:space="0" w:color="auto"/>
              <w:right w:val="single" w:sz="4" w:space="0" w:color="auto"/>
            </w:tcBorders>
            <w:hideMark/>
          </w:tcPr>
          <w:p w14:paraId="201EDFC5" w14:textId="77777777" w:rsidR="00146D95" w:rsidRPr="00175054" w:rsidRDefault="00146D95" w:rsidP="007308F1">
            <w:pPr>
              <w:pStyle w:val="LFTTabletext"/>
              <w:spacing w:after="0"/>
              <w:jc w:val="center"/>
              <w:rPr>
                <w:szCs w:val="18"/>
              </w:rPr>
            </w:pPr>
            <w:r w:rsidRPr="00175054">
              <w:rPr>
                <w:rFonts w:ascii="Calibri" w:hAnsi="Calibri"/>
                <w:szCs w:val="18"/>
              </w:rPr>
              <w:t>Infiltration trench or basin</w:t>
            </w:r>
          </w:p>
        </w:tc>
        <w:tc>
          <w:tcPr>
            <w:tcW w:w="6390" w:type="dxa"/>
            <w:tcBorders>
              <w:top w:val="single" w:sz="4" w:space="0" w:color="auto"/>
              <w:left w:val="single" w:sz="4" w:space="0" w:color="auto"/>
              <w:bottom w:val="single" w:sz="4" w:space="0" w:color="auto"/>
              <w:right w:val="single" w:sz="4" w:space="0" w:color="auto"/>
            </w:tcBorders>
            <w:hideMark/>
          </w:tcPr>
          <w:p w14:paraId="5B7B3A8B" w14:textId="3DB57147" w:rsidR="00146D95" w:rsidRPr="00896BC5" w:rsidRDefault="00146D95" w:rsidP="007B7C9C">
            <w:pPr>
              <w:pStyle w:val="LFTBullet1"/>
              <w:ind w:left="224" w:hanging="172"/>
              <w:rPr>
                <w:rFonts w:ascii="Calibri" w:hAnsi="Calibri"/>
                <w:bCs/>
                <w:sz w:val="18"/>
                <w:szCs w:val="18"/>
              </w:rPr>
            </w:pPr>
            <w:r w:rsidRPr="00896BC5">
              <w:rPr>
                <w:rFonts w:ascii="Calibri" w:hAnsi="Calibri"/>
                <w:bCs/>
                <w:sz w:val="18"/>
                <w:szCs w:val="18"/>
              </w:rPr>
              <w:t>Will be limited due to minimum separation requirement. Surface area to depth ratios of practices may need to be larger. Arch pipe and other perforated storage "vault" practices can help increase treatment volumes within limited spaces.</w:t>
            </w:r>
            <w:r w:rsidR="00684420" w:rsidRPr="00896BC5">
              <w:rPr>
                <w:rFonts w:ascii="Calibri" w:hAnsi="Calibri"/>
                <w:bCs/>
                <w:sz w:val="18"/>
                <w:szCs w:val="18"/>
              </w:rPr>
              <w:t xml:space="preserve"> Liners may be needed</w:t>
            </w:r>
          </w:p>
          <w:p w14:paraId="2181C642" w14:textId="77777777" w:rsidR="00146D95" w:rsidRPr="00896BC5" w:rsidRDefault="00146D95" w:rsidP="007B7C9C">
            <w:pPr>
              <w:pStyle w:val="LFTBullet1"/>
              <w:ind w:left="224" w:hanging="172"/>
              <w:rPr>
                <w:rFonts w:ascii="Calibri" w:hAnsi="Calibri"/>
                <w:bCs/>
                <w:sz w:val="18"/>
                <w:szCs w:val="18"/>
              </w:rPr>
            </w:pPr>
            <w:r w:rsidRPr="00896BC5">
              <w:rPr>
                <w:rFonts w:ascii="Calibri" w:hAnsi="Calibri"/>
                <w:bCs/>
                <w:sz w:val="18"/>
                <w:szCs w:val="18"/>
              </w:rPr>
              <w:t>If used, should have supporting geotechnical investigations and calculations</w:t>
            </w:r>
          </w:p>
          <w:p w14:paraId="0A9F8AB3" w14:textId="77777777" w:rsidR="00146D95" w:rsidRPr="00896BC5" w:rsidRDefault="00146D95" w:rsidP="007B7C9C">
            <w:pPr>
              <w:pStyle w:val="LFTBullet1"/>
              <w:ind w:left="224" w:hanging="172"/>
              <w:rPr>
                <w:rFonts w:ascii="Calibri" w:hAnsi="Calibri"/>
                <w:bCs/>
                <w:sz w:val="18"/>
                <w:szCs w:val="18"/>
              </w:rPr>
            </w:pPr>
            <w:r w:rsidRPr="00896BC5">
              <w:rPr>
                <w:rFonts w:ascii="Calibri" w:hAnsi="Calibri"/>
                <w:bCs/>
                <w:sz w:val="18"/>
                <w:szCs w:val="18"/>
              </w:rPr>
              <w:t>Avoid in areas with stormwater hotspots.</w:t>
            </w:r>
          </w:p>
          <w:p w14:paraId="2598BBC3" w14:textId="77777777" w:rsidR="00146D95" w:rsidRPr="00896BC5" w:rsidRDefault="00146D95" w:rsidP="007B7C9C">
            <w:pPr>
              <w:pStyle w:val="LFTBullet1"/>
              <w:ind w:left="224" w:hanging="172"/>
              <w:rPr>
                <w:rFonts w:ascii="Calibri" w:hAnsi="Calibri"/>
                <w:bCs/>
                <w:sz w:val="18"/>
                <w:szCs w:val="18"/>
              </w:rPr>
            </w:pPr>
            <w:r w:rsidRPr="00896BC5">
              <w:rPr>
                <w:rFonts w:ascii="Calibri" w:hAnsi="Calibri"/>
                <w:bCs/>
                <w:sz w:val="18"/>
                <w:szCs w:val="18"/>
              </w:rPr>
              <w:t>Pre-treatment should be extensive to limit risk of groundwater contamination if groundwater is close to the land surface.</w:t>
            </w:r>
          </w:p>
          <w:p w14:paraId="6F67ED4C" w14:textId="77777777" w:rsidR="00146D95" w:rsidRPr="00896BC5" w:rsidRDefault="00146D95" w:rsidP="007B7C9C">
            <w:pPr>
              <w:pStyle w:val="LFTBullet1"/>
              <w:ind w:left="224" w:hanging="172"/>
              <w:rPr>
                <w:rFonts w:ascii="Calibri" w:hAnsi="Calibri"/>
                <w:bCs/>
                <w:sz w:val="18"/>
                <w:szCs w:val="18"/>
              </w:rPr>
            </w:pPr>
            <w:r w:rsidRPr="00896BC5">
              <w:rPr>
                <w:rFonts w:ascii="Calibri" w:hAnsi="Calibri"/>
                <w:bCs/>
                <w:sz w:val="18"/>
                <w:szCs w:val="18"/>
              </w:rPr>
              <w:t>Local review authority should be consulted for approval.</w:t>
            </w:r>
          </w:p>
        </w:tc>
      </w:tr>
      <w:tr w:rsidR="00146D95" w:rsidRPr="00175054" w14:paraId="7C2E051D" w14:textId="77777777" w:rsidTr="007308F1">
        <w:tc>
          <w:tcPr>
            <w:tcW w:w="2358" w:type="dxa"/>
            <w:tcBorders>
              <w:top w:val="single" w:sz="4" w:space="0" w:color="auto"/>
              <w:left w:val="single" w:sz="4" w:space="0" w:color="auto"/>
              <w:bottom w:val="single" w:sz="4" w:space="0" w:color="auto"/>
              <w:right w:val="single" w:sz="4" w:space="0" w:color="auto"/>
            </w:tcBorders>
            <w:hideMark/>
          </w:tcPr>
          <w:p w14:paraId="13BCD262" w14:textId="77777777" w:rsidR="00146D95" w:rsidRPr="00175054" w:rsidRDefault="00146D95" w:rsidP="007308F1">
            <w:pPr>
              <w:pStyle w:val="LFTTabletext"/>
              <w:spacing w:after="0"/>
              <w:jc w:val="center"/>
              <w:rPr>
                <w:szCs w:val="18"/>
              </w:rPr>
            </w:pPr>
            <w:r w:rsidRPr="00175054">
              <w:rPr>
                <w:rFonts w:ascii="Calibri" w:hAnsi="Calibri"/>
                <w:szCs w:val="18"/>
              </w:rPr>
              <w:t>Stormwater ponds</w:t>
            </w:r>
          </w:p>
        </w:tc>
        <w:tc>
          <w:tcPr>
            <w:tcW w:w="6390" w:type="dxa"/>
            <w:tcBorders>
              <w:top w:val="single" w:sz="4" w:space="0" w:color="auto"/>
              <w:left w:val="single" w:sz="4" w:space="0" w:color="auto"/>
              <w:bottom w:val="single" w:sz="4" w:space="0" w:color="auto"/>
              <w:right w:val="single" w:sz="4" w:space="0" w:color="auto"/>
            </w:tcBorders>
            <w:hideMark/>
          </w:tcPr>
          <w:p w14:paraId="4DDFBC97" w14:textId="77777777" w:rsidR="00146D95" w:rsidRPr="00896BC5" w:rsidRDefault="00146D95" w:rsidP="007B7C9C">
            <w:pPr>
              <w:pStyle w:val="LFTBullet1"/>
              <w:ind w:left="224" w:hanging="172"/>
              <w:rPr>
                <w:rFonts w:ascii="Calibri" w:hAnsi="Calibri"/>
                <w:bCs/>
                <w:sz w:val="18"/>
                <w:szCs w:val="18"/>
              </w:rPr>
            </w:pPr>
            <w:r w:rsidRPr="00896BC5">
              <w:rPr>
                <w:rFonts w:ascii="Calibri" w:hAnsi="Calibri"/>
                <w:bCs/>
                <w:sz w:val="18"/>
                <w:szCs w:val="18"/>
              </w:rPr>
              <w:t>Will have depth limitation to consider, making surface areas larger for a given storage volume.</w:t>
            </w:r>
          </w:p>
          <w:p w14:paraId="1B52BAAC" w14:textId="77777777" w:rsidR="00146D95" w:rsidRPr="00896BC5" w:rsidRDefault="00146D95" w:rsidP="007B7C9C">
            <w:pPr>
              <w:pStyle w:val="LFTBullet1"/>
              <w:ind w:left="224" w:hanging="172"/>
              <w:rPr>
                <w:rFonts w:ascii="Calibri" w:hAnsi="Calibri"/>
                <w:bCs/>
                <w:sz w:val="18"/>
                <w:szCs w:val="18"/>
              </w:rPr>
            </w:pPr>
            <w:r w:rsidRPr="00896BC5">
              <w:rPr>
                <w:rFonts w:ascii="Calibri" w:hAnsi="Calibri"/>
                <w:bCs/>
                <w:sz w:val="18"/>
                <w:szCs w:val="18"/>
              </w:rPr>
              <w:t>Shallower depths may be undesirable from an aesthetic standpoint, particularly if wide fluctuations in water level are expected. However, permit requirements state that the minimum depth must be at least 3 feet deep.</w:t>
            </w:r>
          </w:p>
          <w:p w14:paraId="4FD01121" w14:textId="77777777" w:rsidR="00146D95" w:rsidRPr="00896BC5" w:rsidRDefault="00146D95" w:rsidP="007B7C9C">
            <w:pPr>
              <w:pStyle w:val="LFTBullet1"/>
              <w:ind w:left="224" w:hanging="172"/>
              <w:rPr>
                <w:rFonts w:ascii="Calibri" w:hAnsi="Calibri"/>
                <w:bCs/>
                <w:sz w:val="18"/>
                <w:szCs w:val="18"/>
              </w:rPr>
            </w:pPr>
            <w:r w:rsidRPr="00896BC5">
              <w:rPr>
                <w:rFonts w:ascii="Calibri" w:hAnsi="Calibri"/>
                <w:bCs/>
                <w:sz w:val="18"/>
                <w:szCs w:val="18"/>
              </w:rPr>
              <w:t>Bedrock should act like a liner and help to maintain a permanent pool, unless fracture zone is present.</w:t>
            </w:r>
          </w:p>
        </w:tc>
      </w:tr>
      <w:tr w:rsidR="00146D95" w:rsidRPr="00175054" w14:paraId="01108C14" w14:textId="77777777" w:rsidTr="007308F1">
        <w:trPr>
          <w:trHeight w:val="998"/>
        </w:trPr>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0C87197B" w14:textId="77777777" w:rsidR="00146D95" w:rsidRPr="00175054" w:rsidRDefault="00146D95" w:rsidP="007308F1">
            <w:pPr>
              <w:pStyle w:val="LFTTabletext"/>
              <w:spacing w:after="0"/>
              <w:jc w:val="center"/>
              <w:rPr>
                <w:szCs w:val="18"/>
              </w:rPr>
            </w:pPr>
            <w:r w:rsidRPr="00175054">
              <w:rPr>
                <w:rFonts w:ascii="Calibri" w:hAnsi="Calibri"/>
                <w:szCs w:val="18"/>
              </w:rPr>
              <w:t>Constructed wetlands</w:t>
            </w:r>
          </w:p>
        </w:tc>
        <w:tc>
          <w:tcPr>
            <w:tcW w:w="6390" w:type="dxa"/>
            <w:tcBorders>
              <w:top w:val="single" w:sz="4" w:space="0" w:color="auto"/>
              <w:left w:val="single" w:sz="4" w:space="0" w:color="auto"/>
              <w:bottom w:val="single" w:sz="4" w:space="0" w:color="auto"/>
              <w:right w:val="single" w:sz="4" w:space="0" w:color="auto"/>
            </w:tcBorders>
            <w:hideMark/>
          </w:tcPr>
          <w:p w14:paraId="35E9458C" w14:textId="77777777" w:rsidR="00146D95" w:rsidRPr="00896BC5" w:rsidRDefault="00146D95" w:rsidP="007B7C9C">
            <w:pPr>
              <w:pStyle w:val="LFTBullet1"/>
              <w:ind w:left="224" w:hanging="172"/>
              <w:rPr>
                <w:rFonts w:ascii="Calibri" w:hAnsi="Calibri"/>
                <w:bCs/>
                <w:sz w:val="18"/>
                <w:szCs w:val="18"/>
              </w:rPr>
            </w:pPr>
            <w:r w:rsidRPr="00896BC5">
              <w:rPr>
                <w:rFonts w:ascii="Calibri" w:hAnsi="Calibri"/>
                <w:bCs/>
                <w:sz w:val="18"/>
                <w:szCs w:val="18"/>
              </w:rPr>
              <w:t>Applied more easily than ponds, but will also require larger surface area to drainage area ratios.</w:t>
            </w:r>
          </w:p>
          <w:p w14:paraId="511DD8BC" w14:textId="77777777" w:rsidR="00146D95" w:rsidRPr="00896BC5" w:rsidRDefault="00146D95" w:rsidP="007B7C9C">
            <w:pPr>
              <w:pStyle w:val="LFTBullet1"/>
              <w:ind w:left="224" w:hanging="172"/>
              <w:rPr>
                <w:rFonts w:ascii="Calibri" w:hAnsi="Calibri"/>
                <w:bCs/>
                <w:sz w:val="18"/>
                <w:szCs w:val="18"/>
              </w:rPr>
            </w:pPr>
            <w:r w:rsidRPr="00896BC5">
              <w:rPr>
                <w:rFonts w:ascii="Calibri" w:hAnsi="Calibri"/>
                <w:bCs/>
                <w:sz w:val="18"/>
                <w:szCs w:val="18"/>
              </w:rPr>
              <w:t>Bedrock should act like a liner and help to maintain a permanent pool, unless fracture zone is present</w:t>
            </w:r>
          </w:p>
        </w:tc>
      </w:tr>
      <w:tr w:rsidR="00146D95" w:rsidRPr="00175054" w14:paraId="432D5D05" w14:textId="77777777" w:rsidTr="007308F1">
        <w:tc>
          <w:tcPr>
            <w:tcW w:w="8748" w:type="dxa"/>
            <w:gridSpan w:val="2"/>
            <w:tcBorders>
              <w:top w:val="single" w:sz="4" w:space="0" w:color="auto"/>
              <w:left w:val="single" w:sz="4" w:space="0" w:color="auto"/>
              <w:bottom w:val="single" w:sz="4" w:space="0" w:color="auto"/>
              <w:right w:val="single" w:sz="4" w:space="0" w:color="auto"/>
            </w:tcBorders>
            <w:shd w:val="clear" w:color="auto" w:fill="auto"/>
          </w:tcPr>
          <w:p w14:paraId="72DA7E54" w14:textId="77777777" w:rsidR="00146D95" w:rsidRPr="00175054" w:rsidRDefault="00146D95" w:rsidP="007308F1">
            <w:pPr>
              <w:pStyle w:val="LFTTabletext"/>
              <w:spacing w:after="0"/>
              <w:rPr>
                <w:szCs w:val="18"/>
              </w:rPr>
            </w:pPr>
            <w:r w:rsidRPr="00175054">
              <w:rPr>
                <w:szCs w:val="18"/>
              </w:rPr>
              <w:t xml:space="preserve">Source: </w:t>
            </w:r>
            <w:hyperlink r:id="rId23" w:history="1">
              <w:r w:rsidRPr="007447E2">
                <w:rPr>
                  <w:rStyle w:val="Hyperlink"/>
                  <w:szCs w:val="18"/>
                </w:rPr>
                <w:t>http://stormwater.pca.state.mn.us/index.php/BMP_use_in_settings_with_shallow_soils_and_shallow_depth_to_bedrock</w:t>
              </w:r>
            </w:hyperlink>
          </w:p>
        </w:tc>
      </w:tr>
    </w:tbl>
    <w:p w14:paraId="3E565B9D" w14:textId="77777777" w:rsidR="00146D95" w:rsidRDefault="00146D95" w:rsidP="00146D95">
      <w:pPr>
        <w:pStyle w:val="LFTHeading3"/>
      </w:pPr>
    </w:p>
    <w:p w14:paraId="565A4BB3" w14:textId="77777777" w:rsidR="001F046A" w:rsidRPr="002D216D" w:rsidRDefault="001F046A" w:rsidP="00095A0A">
      <w:pPr>
        <w:pStyle w:val="LFTHeading2"/>
        <w:numPr>
          <w:ilvl w:val="1"/>
          <w:numId w:val="8"/>
        </w:numPr>
      </w:pPr>
      <w:r w:rsidRPr="001F046A">
        <w:t>Soils with Low Infiltration Capacity</w:t>
      </w:r>
    </w:p>
    <w:p w14:paraId="6116EB1E" w14:textId="77777777" w:rsidR="001F046A" w:rsidRPr="00D91C6D" w:rsidRDefault="006B4887" w:rsidP="006B4887">
      <w:pPr>
        <w:pStyle w:val="LFTHeading3"/>
        <w:rPr>
          <w:i/>
        </w:rPr>
      </w:pPr>
      <w:r>
        <w:t xml:space="preserve">2.4.1 </w:t>
      </w:r>
      <w:r w:rsidR="001F046A" w:rsidRPr="00D91C6D">
        <w:t>What are Soils with a Low Infiltration Capacity?</w:t>
      </w:r>
    </w:p>
    <w:p w14:paraId="4746B69D" w14:textId="74E04D10" w:rsidR="0036128B" w:rsidRDefault="001F046A" w:rsidP="006B4887">
      <w:pPr>
        <w:pStyle w:val="LFTBody"/>
      </w:pPr>
      <w:r w:rsidRPr="002D216D">
        <w:t>Soils with low </w:t>
      </w:r>
      <w:hyperlink r:id="rId24" w:anchor="I" w:tooltip="Glossary" w:history="1">
        <w:r w:rsidRPr="002D216D">
          <w:t>infiltration</w:t>
        </w:r>
      </w:hyperlink>
      <w:r w:rsidRPr="002D216D">
        <w:t xml:space="preserve"> capacity </w:t>
      </w:r>
      <w:r>
        <w:t>are</w:t>
      </w:r>
      <w:r w:rsidRPr="002D216D">
        <w:t xml:space="preserve"> defined as soils with</w:t>
      </w:r>
      <w:r w:rsidR="0036128B">
        <w:t xml:space="preserve"> steady-state</w:t>
      </w:r>
      <w:r w:rsidRPr="002D216D">
        <w:t xml:space="preserve"> infiltration rates </w:t>
      </w:r>
      <w:r w:rsidR="005F197D">
        <w:t xml:space="preserve">equal to or </w:t>
      </w:r>
      <w:r w:rsidRPr="002D216D">
        <w:t xml:space="preserve">less than 0.06 inches per hour. </w:t>
      </w:r>
      <w:r w:rsidR="0036128B">
        <w:t>County soil surveys are useful for in</w:t>
      </w:r>
      <w:r w:rsidR="00EA1D9F">
        <w:t>i</w:t>
      </w:r>
      <w:r w:rsidR="0036128B">
        <w:t>tial screening to identify soils that may have low infiltration rates.</w:t>
      </w:r>
      <w:r w:rsidRPr="002D216D">
        <w:t xml:space="preserve"> </w:t>
      </w:r>
      <w:r w:rsidR="0036128B">
        <w:t xml:space="preserve">Most </w:t>
      </w:r>
      <w:r w:rsidRPr="002D216D">
        <w:t xml:space="preserve">county soil surveys are </w:t>
      </w:r>
      <w:hyperlink r:id="rId25" w:history="1">
        <w:r w:rsidRPr="009255E0">
          <w:rPr>
            <w:rStyle w:val="Hyperlink"/>
          </w:rPr>
          <w:t>available digitally</w:t>
        </w:r>
      </w:hyperlink>
      <w:r>
        <w:t xml:space="preserve"> from </w:t>
      </w:r>
      <w:r w:rsidR="00EA1D9F">
        <w:t xml:space="preserve">the </w:t>
      </w:r>
      <w:r>
        <w:t>NRCS (</w:t>
      </w:r>
      <w:r w:rsidRPr="009C132F">
        <w:t xml:space="preserve">National Resources Conservation Service). </w:t>
      </w:r>
      <w:r w:rsidR="0036128B" w:rsidRPr="009C132F">
        <w:t>T</w:t>
      </w:r>
      <w:r w:rsidRPr="009C132F">
        <w:t>hese surveys are not accurate enough to determine site-</w:t>
      </w:r>
      <w:r w:rsidRPr="00346564">
        <w:t xml:space="preserve">specific characteristics suitable for infiltration systems, so a </w:t>
      </w:r>
      <w:hyperlink w:anchor="Investigation" w:history="1">
        <w:r w:rsidRPr="00346564">
          <w:rPr>
            <w:rStyle w:val="Hyperlink"/>
          </w:rPr>
          <w:t>detailed site analysis</w:t>
        </w:r>
      </w:hyperlink>
      <w:r w:rsidRPr="00346564">
        <w:rPr>
          <w:rStyle w:val="Hyperlink"/>
        </w:rPr>
        <w:t xml:space="preserve"> </w:t>
      </w:r>
      <w:r w:rsidRPr="00346564">
        <w:t>should be performed for all proposed infiltration BMPs (</w:t>
      </w:r>
      <w:r w:rsidRPr="009C132F">
        <w:t>Susilo, 2009).</w:t>
      </w:r>
    </w:p>
    <w:p w14:paraId="7ED88145" w14:textId="499046D1" w:rsidR="001F046A" w:rsidRDefault="001F046A" w:rsidP="006B4887">
      <w:pPr>
        <w:pStyle w:val="LFTBody"/>
      </w:pPr>
      <w:r w:rsidRPr="002D216D">
        <w:t xml:space="preserve">Stormwater management limitations in areas with </w:t>
      </w:r>
      <w:r w:rsidR="00B02B07">
        <w:t xml:space="preserve">low infiltration capacity </w:t>
      </w:r>
      <w:r w:rsidRPr="002D216D">
        <w:t>soils generally preclude large-scale infiltration. These soils will typically be categorized under </w:t>
      </w:r>
      <w:hyperlink r:id="rId26" w:anchor="H" w:tooltip="Glossary" w:history="1">
        <w:r w:rsidRPr="002D216D">
          <w:t>Hydrologic Soil Group</w:t>
        </w:r>
      </w:hyperlink>
      <w:r w:rsidRPr="002D216D">
        <w:t> (HSG) D</w:t>
      </w:r>
      <w:r w:rsidR="00217E18">
        <w:t xml:space="preserve">. </w:t>
      </w:r>
      <w:r w:rsidR="009B3C68">
        <w:t xml:space="preserve">Design infiltration rates </w:t>
      </w:r>
      <w:r w:rsidRPr="002D216D">
        <w:t xml:space="preserve">for these soils are conservative estimates of long-term, sustainable infiltration rates that have been documented in Minnesota. They are based on in-situ measurement within </w:t>
      </w:r>
      <w:r w:rsidRPr="002D216D">
        <w:lastRenderedPageBreak/>
        <w:t>existing infiltration practices in Minnesota, rather than national numbers or rates based on laboratory columns.</w:t>
      </w:r>
    </w:p>
    <w:p w14:paraId="52E424E8" w14:textId="77777777" w:rsidR="00EA1D9F" w:rsidRPr="002D216D" w:rsidRDefault="00EA1D9F" w:rsidP="006B4887">
      <w:pPr>
        <w:pStyle w:val="LFTBody"/>
      </w:pPr>
      <w:r>
        <w:t xml:space="preserve">The </w:t>
      </w:r>
      <w:hyperlink r:id="rId27" w:anchor="III.D._PERMANENT_STORMWATER_MANAGEMENT_SYSTEM" w:history="1">
        <w:r w:rsidRPr="00EA1D9F">
          <w:rPr>
            <w:rStyle w:val="Hyperlink"/>
          </w:rPr>
          <w:t>CGP prohibits</w:t>
        </w:r>
      </w:hyperlink>
      <w:r>
        <w:t xml:space="preserve"> infiltration when an infiltration system will be constructed in areas of predominately Hydrologic Soil Group D (clay) soils unless allowed by a local unit of government with a current MS4 permit.</w:t>
      </w:r>
    </w:p>
    <w:p w14:paraId="1568C767" w14:textId="77777777" w:rsidR="001F046A" w:rsidRPr="00D91C6D" w:rsidRDefault="006B4887" w:rsidP="006B4887">
      <w:pPr>
        <w:pStyle w:val="LFTHeading3"/>
        <w:rPr>
          <w:i/>
        </w:rPr>
      </w:pPr>
      <w:r>
        <w:t xml:space="preserve">2.4.2 </w:t>
      </w:r>
      <w:r w:rsidR="001F046A" w:rsidRPr="00D91C6D">
        <w:t>Why are Soils with a Low Infiltration Capacity a Concern</w:t>
      </w:r>
      <w:r>
        <w:t>?</w:t>
      </w:r>
      <w:r w:rsidR="001F046A" w:rsidRPr="00D91C6D">
        <w:t xml:space="preserve"> </w:t>
      </w:r>
    </w:p>
    <w:p w14:paraId="6FB67C34" w14:textId="28381D5F" w:rsidR="001F046A" w:rsidRPr="002D216D" w:rsidRDefault="001F046A" w:rsidP="006B4887">
      <w:pPr>
        <w:pStyle w:val="LFTBody"/>
      </w:pPr>
      <w:r w:rsidRPr="002D216D">
        <w:t xml:space="preserve">Sites with </w:t>
      </w:r>
      <w:r>
        <w:t>low infiltration capacity</w:t>
      </w:r>
      <w:r w:rsidRPr="002D216D">
        <w:t xml:space="preserve"> soils</w:t>
      </w:r>
      <w:r w:rsidR="009B3C68">
        <w:t xml:space="preserve"> may</w:t>
      </w:r>
      <w:r w:rsidRPr="002D216D">
        <w:t xml:space="preserve"> limit the</w:t>
      </w:r>
      <w:r w:rsidR="009B3C68">
        <w:t xml:space="preserve"> type, location,</w:t>
      </w:r>
      <w:r w:rsidRPr="002D216D">
        <w:t xml:space="preserve"> number</w:t>
      </w:r>
      <w:r>
        <w:t xml:space="preserve"> and/or sizing</w:t>
      </w:r>
      <w:r w:rsidR="006B4887">
        <w:t xml:space="preserve"> of</w:t>
      </w:r>
      <w:r>
        <w:t xml:space="preserve"> infiltration</w:t>
      </w:r>
      <w:r w:rsidR="006B4887">
        <w:t xml:space="preserve"> </w:t>
      </w:r>
      <w:r>
        <w:t>BMPs</w:t>
      </w:r>
      <w:r w:rsidRPr="002D216D">
        <w:t xml:space="preserve"> that can be used for stormwater management</w:t>
      </w:r>
      <w:r w:rsidR="009B3C68">
        <w:t>.</w:t>
      </w:r>
      <w:r w:rsidRPr="002D216D">
        <w:t xml:space="preserve"> </w:t>
      </w:r>
      <w:r w:rsidR="00EA1D9F">
        <w:t xml:space="preserve">Low infiltration rates result in </w:t>
      </w:r>
      <w:r w:rsidR="005E6EA3">
        <w:t xml:space="preserve">extended surface </w:t>
      </w:r>
      <w:r w:rsidR="00EA1D9F">
        <w:t>ponding of water, which may damage vegetation, lead to mosquito breeding, damage soil structure, and reduce pollutant treatment by the BMP</w:t>
      </w:r>
      <w:r w:rsidR="00217E18">
        <w:t xml:space="preserve">. </w:t>
      </w:r>
      <w:r w:rsidRPr="002D216D">
        <w:t xml:space="preserve">Certain watershed organizations in Minnesota do not allow the </w:t>
      </w:r>
      <w:r w:rsidR="009255D8" w:rsidRPr="002D216D">
        <w:t>use</w:t>
      </w:r>
      <w:r w:rsidR="009255D8">
        <w:t>,</w:t>
      </w:r>
      <w:r w:rsidR="009255D8" w:rsidRPr="002D216D">
        <w:t xml:space="preserve"> or</w:t>
      </w:r>
      <w:r w:rsidRPr="002D216D">
        <w:t xml:space="preserve"> strongly discourage the use</w:t>
      </w:r>
      <w:r w:rsidR="00684420">
        <w:t>,</w:t>
      </w:r>
      <w:r w:rsidRPr="002D216D">
        <w:t xml:space="preserve"> of infiltration BMPs where soil infiltration capacity is low. This does not mean, however, that these soils do</w:t>
      </w:r>
      <w:r w:rsidR="00EA1D9F">
        <w:t xml:space="preserve"> </w:t>
      </w:r>
      <w:r w:rsidRPr="002D216D">
        <w:t>n</w:t>
      </w:r>
      <w:r w:rsidR="00EA1D9F">
        <w:t>o</w:t>
      </w:r>
      <w:r w:rsidRPr="002D216D">
        <w:t>t have any infiltration</w:t>
      </w:r>
      <w:r w:rsidR="00BF72EB">
        <w:t xml:space="preserve"> and recharge capabilities. I</w:t>
      </w:r>
      <w:r w:rsidRPr="002D216D">
        <w:t>t may be possible for sites to</w:t>
      </w:r>
      <w:r>
        <w:t xml:space="preserve"> partially or fully</w:t>
      </w:r>
      <w:r w:rsidRPr="002D216D">
        <w:t xml:space="preserve"> meet </w:t>
      </w:r>
      <w:r>
        <w:t>infiltration</w:t>
      </w:r>
      <w:r w:rsidRPr="002D216D">
        <w:t xml:space="preserve"> objectives as long as appropriate design modifications have been incorporated</w:t>
      </w:r>
      <w:r w:rsidR="00EA1D9F">
        <w:t xml:space="preserve">, such as amending the soil with </w:t>
      </w:r>
      <w:r w:rsidR="001E035D">
        <w:t xml:space="preserve">compost or </w:t>
      </w:r>
      <w:r w:rsidR="00EA1D9F">
        <w:t>sand</w:t>
      </w:r>
      <w:r w:rsidR="001E035D">
        <w:t>,</w:t>
      </w:r>
      <w:r w:rsidR="00EA1D9F">
        <w:t xml:space="preserve"> or incorporating an underdrain into the practice.</w:t>
      </w:r>
    </w:p>
    <w:p w14:paraId="71F30848" w14:textId="6B5B00EC" w:rsidR="001F046A" w:rsidRPr="00D91C6D" w:rsidRDefault="00BC6982" w:rsidP="00BC6982">
      <w:pPr>
        <w:pStyle w:val="LFTHeading3"/>
      </w:pPr>
      <w:r>
        <w:t>2.4</w:t>
      </w:r>
      <w:r w:rsidR="009255D8">
        <w:t>.</w:t>
      </w:r>
      <w:r w:rsidR="00AF4F63">
        <w:t xml:space="preserve">3 </w:t>
      </w:r>
      <w:r w:rsidR="001F046A" w:rsidRPr="00D91C6D">
        <w:t xml:space="preserve">How to Investigate </w:t>
      </w:r>
      <w:r w:rsidR="001E035D">
        <w:t>S</w:t>
      </w:r>
      <w:r w:rsidR="001F046A" w:rsidRPr="00D91C6D">
        <w:t xml:space="preserve">oils </w:t>
      </w:r>
      <w:r w:rsidR="001E035D">
        <w:t>with Low Infiltration Capacity</w:t>
      </w:r>
    </w:p>
    <w:p w14:paraId="1391A27B" w14:textId="15BFF91F" w:rsidR="0005723F" w:rsidRDefault="001E035D" w:rsidP="0005723F">
      <w:pPr>
        <w:pStyle w:val="LFTBody"/>
      </w:pPr>
      <w:r>
        <w:rPr>
          <w:color w:val="000000" w:themeColor="text1"/>
        </w:rPr>
        <w:t>Soil tests to determine infiltration capacity of soil should be performed at a</w:t>
      </w:r>
      <w:r w:rsidR="001F046A" w:rsidRPr="00436279">
        <w:rPr>
          <w:color w:val="000000" w:themeColor="text1"/>
        </w:rPr>
        <w:t>ll proposed stormwater facilities that plan to have a recharge or infiltration component to their design. The purpose of the testing is to identify and confirm the soil characteristics and determine suitability, if any, for </w:t>
      </w:r>
      <w:hyperlink r:id="rId28" w:anchor="I" w:tooltip="Glossary" w:history="1">
        <w:r w:rsidR="001F046A" w:rsidRPr="00436279">
          <w:rPr>
            <w:color w:val="000000" w:themeColor="text1"/>
          </w:rPr>
          <w:t>infiltration</w:t>
        </w:r>
      </w:hyperlink>
      <w:r w:rsidR="001F046A" w:rsidRPr="00436279">
        <w:rPr>
          <w:color w:val="000000" w:themeColor="text1"/>
        </w:rPr>
        <w:t xml:space="preserve"> BMPs. </w:t>
      </w:r>
      <w:r w:rsidR="0005723F" w:rsidRPr="00345C69">
        <w:t xml:space="preserve">The guidelines </w:t>
      </w:r>
      <w:r w:rsidR="0005723F">
        <w:t xml:space="preserve">for how to investigate for low capacity soils are summarized in </w:t>
      </w:r>
      <w:r w:rsidR="0005723F" w:rsidRPr="00684420">
        <w:rPr>
          <w:b/>
        </w:rPr>
        <w:t>Table 2.</w:t>
      </w:r>
      <w:r w:rsidR="00684420" w:rsidRPr="00684420">
        <w:rPr>
          <w:b/>
        </w:rPr>
        <w:t>2</w:t>
      </w:r>
      <w:r w:rsidR="0005723F">
        <w:t xml:space="preserve">; however, these guidelines should not be </w:t>
      </w:r>
      <w:r w:rsidR="0005723F" w:rsidRPr="00345C69">
        <w:t xml:space="preserve">interpreted as all-inclusive. The size and complexity of the project will drive the </w:t>
      </w:r>
      <w:r w:rsidR="0005723F">
        <w:t>extent</w:t>
      </w:r>
      <w:r w:rsidR="0005723F" w:rsidRPr="00345C69">
        <w:t xml:space="preserve"> of any subsurface investigation.</w:t>
      </w:r>
    </w:p>
    <w:p w14:paraId="7CD576F1" w14:textId="00C4E4F8" w:rsidR="00AF4F63" w:rsidRPr="00D91C6D" w:rsidRDefault="00AF4F63" w:rsidP="00AF4F63">
      <w:pPr>
        <w:pStyle w:val="LFTHeading3"/>
        <w:rPr>
          <w:i/>
        </w:rPr>
      </w:pPr>
      <w:r>
        <w:t xml:space="preserve">2.4.4 </w:t>
      </w:r>
      <w:r w:rsidRPr="00D91C6D">
        <w:t>What are General Stormwater Management Guidelines for Sites with Low Infiltration Capacity Soils?</w:t>
      </w:r>
    </w:p>
    <w:p w14:paraId="2440F6A9" w14:textId="1C90B53E" w:rsidR="00AF4F63" w:rsidRPr="007B7C9C" w:rsidRDefault="00AF4F63" w:rsidP="00AF4F63">
      <w:pPr>
        <w:pStyle w:val="LFTBullet1"/>
      </w:pPr>
      <w:r w:rsidRPr="007B7C9C">
        <w:rPr>
          <w:b/>
        </w:rPr>
        <w:t>Local soil surveys should be used for preliminary determination of infiltration capacity</w:t>
      </w:r>
      <w:r w:rsidRPr="007B7C9C">
        <w:t xml:space="preserve"> of the soils on site; </w:t>
      </w:r>
      <w:r w:rsidR="005E6EA3" w:rsidRPr="007B7C9C">
        <w:t xml:space="preserve">If the soil survey suggests soils with very low infiltration capacities, then alternative BMPs such as swales, filters, etc. should be considered.  If the survey suggests the potential for infiltration, the </w:t>
      </w:r>
      <w:r w:rsidRPr="007B7C9C">
        <w:t xml:space="preserve"> on-site soil testing should be done to accurately characterize site soils.</w:t>
      </w:r>
      <w:r w:rsidR="009278EA" w:rsidRPr="007B7C9C">
        <w:t xml:space="preserve">  The testing should be conducted in the most restrictive layer of soil that is found within 5-feet below the bottom of the proposed BMP.</w:t>
      </w:r>
    </w:p>
    <w:p w14:paraId="6B4375A7" w14:textId="07F112A8" w:rsidR="00AF4F63" w:rsidRPr="002D216D" w:rsidRDefault="00AF4F63" w:rsidP="00AF4F63">
      <w:pPr>
        <w:pStyle w:val="LFTBullet1"/>
      </w:pPr>
      <w:r w:rsidRPr="00AF0C02">
        <w:rPr>
          <w:b/>
        </w:rPr>
        <w:t>Soil </w:t>
      </w:r>
      <w:hyperlink r:id="rId29" w:tooltip="Turf" w:history="1">
        <w:r w:rsidRPr="00AF0C02">
          <w:rPr>
            <w:b/>
          </w:rPr>
          <w:t>compost amendments</w:t>
        </w:r>
      </w:hyperlink>
      <w:r w:rsidRPr="00AF0C02">
        <w:rPr>
          <w:b/>
        </w:rPr>
        <w:t> should be considered for lawns and other pervious surfaces to increase pervious area storage and/or decrease pervious surface runoff</w:t>
      </w:r>
      <w:r w:rsidR="00217E18">
        <w:rPr>
          <w:b/>
        </w:rPr>
        <w:t xml:space="preserve">. </w:t>
      </w:r>
      <w:r>
        <w:t>Designers should also consider disconnection of impervious surfaces, by draining rooftops and other impervious surface runoff to compost amended pervious surfaces before collection and discharge into a structural BMP.</w:t>
      </w:r>
    </w:p>
    <w:p w14:paraId="160573B8" w14:textId="77777777" w:rsidR="00AF4F63" w:rsidRPr="002D216D" w:rsidRDefault="00AF4F63" w:rsidP="00AF4F63">
      <w:pPr>
        <w:pStyle w:val="LFTBullet1"/>
      </w:pPr>
      <w:r w:rsidRPr="00AF0C02">
        <w:rPr>
          <w:b/>
        </w:rPr>
        <w:t>Where volume reduction is a primary objective for a site (e.g., required by permit, potentially a receiving water-based goal due to channel erosion, nuisance flooding, or inadequate infrastructure capacity), emphasis should be placed on practices that promote runoff </w:t>
      </w:r>
      <w:hyperlink r:id="rId30" w:tooltip="Stormwater re-use and rainwater harvesting" w:history="1">
        <w:r w:rsidRPr="00AF0C02">
          <w:rPr>
            <w:b/>
          </w:rPr>
          <w:t>reuse</w:t>
        </w:r>
      </w:hyperlink>
      <w:r w:rsidRPr="00AF0C02">
        <w:rPr>
          <w:b/>
        </w:rPr>
        <w:t> and evapotranspiration</w:t>
      </w:r>
      <w:r w:rsidRPr="002D216D">
        <w:t xml:space="preserve"> such as cisterns, rain barrels, </w:t>
      </w:r>
      <w:hyperlink r:id="rId31" w:tooltip="Green roofs" w:history="1">
        <w:r w:rsidRPr="002D216D">
          <w:t>green roofs</w:t>
        </w:r>
      </w:hyperlink>
      <w:r w:rsidRPr="002D216D">
        <w:t>, evaporative systems, and</w:t>
      </w:r>
      <w:r>
        <w:t xml:space="preserve"> biofiltration in order to maximize volume reduction</w:t>
      </w:r>
      <w:r w:rsidRPr="002D216D">
        <w:t>.</w:t>
      </w:r>
    </w:p>
    <w:p w14:paraId="6A350A9F" w14:textId="392A2C20" w:rsidR="00AF4F63" w:rsidRPr="002D216D" w:rsidRDefault="00AF4F63" w:rsidP="00AF4F63">
      <w:pPr>
        <w:pStyle w:val="LFTBullet1"/>
      </w:pPr>
      <w:r w:rsidRPr="00AF0C02">
        <w:rPr>
          <w:b/>
        </w:rPr>
        <w:lastRenderedPageBreak/>
        <w:t>A mounding analysis should be conducted to ensure that any groundwater mound that develops under a BMP will not extend into the BMP</w:t>
      </w:r>
      <w:r w:rsidR="00217E18">
        <w:rPr>
          <w:b/>
        </w:rPr>
        <w:t xml:space="preserve">. </w:t>
      </w:r>
      <w:r>
        <w:t>This mounding analysis is especially important for soils with low permeability</w:t>
      </w:r>
      <w:r w:rsidRPr="002D216D">
        <w:t xml:space="preserve"> since </w:t>
      </w:r>
      <w:r>
        <w:t xml:space="preserve">such </w:t>
      </w:r>
      <w:r w:rsidRPr="002D216D">
        <w:t xml:space="preserve">soils </w:t>
      </w:r>
      <w:r>
        <w:t xml:space="preserve">cannot efficiently dissipate </w:t>
      </w:r>
      <w:r w:rsidRPr="002D216D">
        <w:t xml:space="preserve">groundwater </w:t>
      </w:r>
      <w:r>
        <w:t>through the soil column</w:t>
      </w:r>
      <w:r w:rsidRPr="002D216D">
        <w:t>.</w:t>
      </w:r>
    </w:p>
    <w:p w14:paraId="0FE5591F" w14:textId="2FE421D6" w:rsidR="00AF4F63" w:rsidRDefault="00AF4F63" w:rsidP="00AF4F63">
      <w:pPr>
        <w:pStyle w:val="LFTBody"/>
      </w:pPr>
      <w:r w:rsidRPr="002D216D">
        <w:t xml:space="preserve">The following table, </w:t>
      </w:r>
      <w:r>
        <w:rPr>
          <w:b/>
        </w:rPr>
        <w:t>Table 2.</w:t>
      </w:r>
      <w:r w:rsidR="00B26137">
        <w:rPr>
          <w:b/>
        </w:rPr>
        <w:t>4</w:t>
      </w:r>
      <w:r>
        <w:rPr>
          <w:b/>
        </w:rPr>
        <w:t>,</w:t>
      </w:r>
      <w:r w:rsidRPr="002D216D">
        <w:t xml:space="preserve"> provides an overview of low infiltration capacity soil related design considerations for several structural </w:t>
      </w:r>
      <w:r>
        <w:t>BMPs</w:t>
      </w:r>
      <w:r w:rsidRPr="002D216D">
        <w:t>.</w:t>
      </w:r>
    </w:p>
    <w:p w14:paraId="377946E7" w14:textId="20A9DF31" w:rsidR="00AF4F63" w:rsidRPr="00EE6C34" w:rsidRDefault="00AF4F63" w:rsidP="00AF4F63">
      <w:pPr>
        <w:pStyle w:val="LFTTableTitle"/>
        <w:rPr>
          <w:b w:val="0"/>
        </w:rPr>
      </w:pPr>
      <w:r>
        <w:t>Table 2.</w:t>
      </w:r>
      <w:r w:rsidR="00B26137">
        <w:t>4</w:t>
      </w:r>
      <w:r>
        <w:t xml:space="preserve"> Structural BMP use in Soil with Low Infiltration Capacity</w:t>
      </w:r>
    </w:p>
    <w:tbl>
      <w:tblPr>
        <w:tblStyle w:val="TableGrid"/>
        <w:tblW w:w="0" w:type="auto"/>
        <w:tblLook w:val="04A0" w:firstRow="1" w:lastRow="0" w:firstColumn="1" w:lastColumn="0" w:noHBand="0" w:noVBand="1"/>
      </w:tblPr>
      <w:tblGrid>
        <w:gridCol w:w="2358"/>
        <w:gridCol w:w="6390"/>
      </w:tblGrid>
      <w:tr w:rsidR="00AF4F63" w:rsidRPr="00313102" w14:paraId="1A82EFB2" w14:textId="77777777" w:rsidTr="007308F1">
        <w:trPr>
          <w:trHeight w:val="287"/>
        </w:trPr>
        <w:tc>
          <w:tcPr>
            <w:tcW w:w="2358" w:type="dxa"/>
            <w:tcBorders>
              <w:top w:val="single" w:sz="4" w:space="0" w:color="auto"/>
              <w:left w:val="single" w:sz="4" w:space="0" w:color="auto"/>
              <w:bottom w:val="single" w:sz="4" w:space="0" w:color="auto"/>
              <w:right w:val="single" w:sz="4" w:space="0" w:color="FFFBF0" w:themeColor="background1"/>
            </w:tcBorders>
            <w:shd w:val="clear" w:color="auto" w:fill="00539B" w:themeFill="text2"/>
            <w:hideMark/>
          </w:tcPr>
          <w:p w14:paraId="42A1E35C" w14:textId="77777777" w:rsidR="00AF4F63" w:rsidRPr="006B4887" w:rsidRDefault="00AF4F63" w:rsidP="007308F1">
            <w:pPr>
              <w:pStyle w:val="LFTTableheader2"/>
              <w:jc w:val="center"/>
              <w:rPr>
                <w:color w:val="FFFBF0" w:themeColor="background1"/>
              </w:rPr>
            </w:pPr>
            <w:r w:rsidRPr="006B4887">
              <w:rPr>
                <w:color w:val="FFFBF0" w:themeColor="background1"/>
              </w:rPr>
              <w:t>BMP</w:t>
            </w:r>
          </w:p>
        </w:tc>
        <w:tc>
          <w:tcPr>
            <w:tcW w:w="6390" w:type="dxa"/>
            <w:tcBorders>
              <w:top w:val="single" w:sz="4" w:space="0" w:color="auto"/>
              <w:left w:val="single" w:sz="4" w:space="0" w:color="FFFBF0" w:themeColor="background1"/>
              <w:bottom w:val="single" w:sz="4" w:space="0" w:color="auto"/>
              <w:right w:val="single" w:sz="4" w:space="0" w:color="auto"/>
            </w:tcBorders>
            <w:shd w:val="clear" w:color="auto" w:fill="00539B" w:themeFill="text2"/>
            <w:hideMark/>
          </w:tcPr>
          <w:p w14:paraId="579C1949" w14:textId="77777777" w:rsidR="00AF4F63" w:rsidRPr="006B4887" w:rsidRDefault="00AF4F63" w:rsidP="007308F1">
            <w:pPr>
              <w:pStyle w:val="LFTTableheader2"/>
              <w:jc w:val="center"/>
              <w:rPr>
                <w:color w:val="FFFBF0" w:themeColor="background1"/>
              </w:rPr>
            </w:pPr>
            <w:r w:rsidRPr="006B4887">
              <w:rPr>
                <w:color w:val="FFFBF0" w:themeColor="background1"/>
              </w:rPr>
              <w:t xml:space="preserve">Low </w:t>
            </w:r>
            <w:r>
              <w:rPr>
                <w:color w:val="FFFBF0" w:themeColor="background1"/>
              </w:rPr>
              <w:t>I</w:t>
            </w:r>
            <w:r w:rsidRPr="006B4887">
              <w:rPr>
                <w:color w:val="FFFBF0" w:themeColor="background1"/>
              </w:rPr>
              <w:t xml:space="preserve">nfiltration </w:t>
            </w:r>
            <w:r>
              <w:rPr>
                <w:color w:val="FFFBF0" w:themeColor="background1"/>
              </w:rPr>
              <w:t>C</w:t>
            </w:r>
            <w:r w:rsidRPr="006B4887">
              <w:rPr>
                <w:color w:val="FFFBF0" w:themeColor="background1"/>
              </w:rPr>
              <w:t xml:space="preserve">apacity </w:t>
            </w:r>
            <w:r>
              <w:rPr>
                <w:color w:val="FFFBF0" w:themeColor="background1"/>
              </w:rPr>
              <w:t>Soil C</w:t>
            </w:r>
            <w:r w:rsidRPr="006B4887">
              <w:rPr>
                <w:color w:val="FFFBF0" w:themeColor="background1"/>
              </w:rPr>
              <w:t>onsiderations</w:t>
            </w:r>
          </w:p>
        </w:tc>
      </w:tr>
      <w:tr w:rsidR="00AF4F63" w:rsidRPr="00313102" w14:paraId="510BC499" w14:textId="77777777" w:rsidTr="007308F1">
        <w:trPr>
          <w:trHeight w:val="350"/>
        </w:trPr>
        <w:tc>
          <w:tcPr>
            <w:tcW w:w="2358" w:type="dxa"/>
            <w:tcBorders>
              <w:top w:val="single" w:sz="4" w:space="0" w:color="auto"/>
              <w:left w:val="single" w:sz="4" w:space="0" w:color="auto"/>
              <w:bottom w:val="single" w:sz="4" w:space="0" w:color="auto"/>
              <w:right w:val="single" w:sz="4" w:space="0" w:color="auto"/>
            </w:tcBorders>
          </w:tcPr>
          <w:p w14:paraId="2C3241E7" w14:textId="77777777" w:rsidR="00AF4F63" w:rsidRPr="00954D7E" w:rsidRDefault="00AF4F63" w:rsidP="007308F1">
            <w:pPr>
              <w:pStyle w:val="LFTTabletext"/>
            </w:pPr>
            <w:r>
              <w:t>Bioretention</w:t>
            </w:r>
          </w:p>
        </w:tc>
        <w:tc>
          <w:tcPr>
            <w:tcW w:w="6390" w:type="dxa"/>
            <w:tcBorders>
              <w:top w:val="single" w:sz="4" w:space="0" w:color="auto"/>
              <w:left w:val="single" w:sz="4" w:space="0" w:color="auto"/>
              <w:bottom w:val="single" w:sz="4" w:space="0" w:color="auto"/>
              <w:right w:val="single" w:sz="4" w:space="0" w:color="auto"/>
            </w:tcBorders>
          </w:tcPr>
          <w:p w14:paraId="1F170446" w14:textId="77777777" w:rsidR="00AF4F63" w:rsidRPr="00954D7E" w:rsidRDefault="00AF4F63" w:rsidP="007308F1">
            <w:pPr>
              <w:pStyle w:val="LFTTabletext"/>
            </w:pPr>
            <w:r>
              <w:t>Should be constructed with an underdrain. Recharge criteria, if applicable, can be met by modifying the design to include an infiltration gallery below the underdrain, so long as it is appropriately sized.</w:t>
            </w:r>
          </w:p>
        </w:tc>
      </w:tr>
      <w:tr w:rsidR="00AF4F63" w:rsidRPr="00313102" w14:paraId="428D39E7" w14:textId="77777777" w:rsidTr="007308F1">
        <w:tc>
          <w:tcPr>
            <w:tcW w:w="2358" w:type="dxa"/>
            <w:tcBorders>
              <w:top w:val="single" w:sz="4" w:space="0" w:color="auto"/>
              <w:left w:val="single" w:sz="4" w:space="0" w:color="auto"/>
              <w:bottom w:val="single" w:sz="4" w:space="0" w:color="auto"/>
              <w:right w:val="single" w:sz="4" w:space="0" w:color="auto"/>
            </w:tcBorders>
          </w:tcPr>
          <w:p w14:paraId="4B82133F" w14:textId="77777777" w:rsidR="00AF4F63" w:rsidRPr="00954D7E" w:rsidRDefault="00AF4F63" w:rsidP="007308F1">
            <w:pPr>
              <w:pStyle w:val="LFTTabletext"/>
            </w:pPr>
            <w:r>
              <w:t>Media filter</w:t>
            </w:r>
          </w:p>
        </w:tc>
        <w:tc>
          <w:tcPr>
            <w:tcW w:w="6390" w:type="dxa"/>
            <w:tcBorders>
              <w:top w:val="single" w:sz="4" w:space="0" w:color="auto"/>
              <w:left w:val="single" w:sz="4" w:space="0" w:color="auto"/>
              <w:bottom w:val="single" w:sz="4" w:space="0" w:color="auto"/>
              <w:right w:val="single" w:sz="4" w:space="0" w:color="auto"/>
            </w:tcBorders>
          </w:tcPr>
          <w:p w14:paraId="582946C8" w14:textId="77777777" w:rsidR="00AF4F63" w:rsidRPr="00954D7E" w:rsidRDefault="00AF4F63" w:rsidP="007308F1">
            <w:pPr>
              <w:pStyle w:val="LFTTabletext"/>
            </w:pPr>
            <w:r>
              <w:t>Recommended practice. Some design variants can be modified to incorporate an infiltration gallery that can help meet recharge criteria, if properly sized.</w:t>
            </w:r>
          </w:p>
        </w:tc>
      </w:tr>
      <w:tr w:rsidR="00AF4F63" w:rsidRPr="00313102" w14:paraId="77C4243C" w14:textId="77777777" w:rsidTr="007308F1">
        <w:tc>
          <w:tcPr>
            <w:tcW w:w="2358" w:type="dxa"/>
            <w:tcBorders>
              <w:top w:val="single" w:sz="4" w:space="0" w:color="auto"/>
              <w:left w:val="single" w:sz="4" w:space="0" w:color="auto"/>
              <w:bottom w:val="single" w:sz="4" w:space="0" w:color="auto"/>
              <w:right w:val="single" w:sz="4" w:space="0" w:color="auto"/>
            </w:tcBorders>
          </w:tcPr>
          <w:p w14:paraId="3EF32531" w14:textId="77777777" w:rsidR="00AF4F63" w:rsidRPr="00954D7E" w:rsidRDefault="00AF4F63" w:rsidP="007308F1">
            <w:pPr>
              <w:pStyle w:val="LFTTabletext"/>
            </w:pPr>
            <w:r>
              <w:t>Vegetative filter</w:t>
            </w:r>
          </w:p>
        </w:tc>
        <w:tc>
          <w:tcPr>
            <w:tcW w:w="6390" w:type="dxa"/>
            <w:tcBorders>
              <w:top w:val="single" w:sz="4" w:space="0" w:color="auto"/>
              <w:left w:val="single" w:sz="4" w:space="0" w:color="auto"/>
              <w:bottom w:val="single" w:sz="4" w:space="0" w:color="auto"/>
              <w:right w:val="single" w:sz="4" w:space="0" w:color="auto"/>
            </w:tcBorders>
          </w:tcPr>
          <w:p w14:paraId="10E68D37" w14:textId="77777777" w:rsidR="00AF4F63" w:rsidRPr="00954D7E" w:rsidRDefault="00AF4F63" w:rsidP="007308F1">
            <w:pPr>
              <w:pStyle w:val="LFTTabletext"/>
            </w:pPr>
            <w:r>
              <w:t>Recommended practice</w:t>
            </w:r>
          </w:p>
        </w:tc>
      </w:tr>
      <w:tr w:rsidR="00AF4F63" w:rsidRPr="00313102" w14:paraId="1DD0A17C" w14:textId="77777777" w:rsidTr="007308F1">
        <w:trPr>
          <w:trHeight w:val="144"/>
        </w:trPr>
        <w:tc>
          <w:tcPr>
            <w:tcW w:w="2358" w:type="dxa"/>
            <w:tcBorders>
              <w:top w:val="single" w:sz="4" w:space="0" w:color="auto"/>
              <w:left w:val="single" w:sz="4" w:space="0" w:color="auto"/>
              <w:bottom w:val="single" w:sz="4" w:space="0" w:color="auto"/>
              <w:right w:val="single" w:sz="4" w:space="0" w:color="auto"/>
            </w:tcBorders>
          </w:tcPr>
          <w:p w14:paraId="3AAF06E9" w14:textId="77777777" w:rsidR="00AF4F63" w:rsidRPr="00954D7E" w:rsidRDefault="00AF4F63" w:rsidP="007308F1">
            <w:pPr>
              <w:pStyle w:val="LFTTabletext"/>
            </w:pPr>
            <w:r>
              <w:t>Infiltration trench or basin</w:t>
            </w:r>
          </w:p>
        </w:tc>
        <w:tc>
          <w:tcPr>
            <w:tcW w:w="6390" w:type="dxa"/>
            <w:tcBorders>
              <w:top w:val="single" w:sz="4" w:space="0" w:color="auto"/>
              <w:left w:val="single" w:sz="4" w:space="0" w:color="auto"/>
              <w:bottom w:val="single" w:sz="4" w:space="0" w:color="auto"/>
              <w:right w:val="single" w:sz="4" w:space="0" w:color="auto"/>
            </w:tcBorders>
          </w:tcPr>
          <w:p w14:paraId="67A8EEE3" w14:textId="77777777" w:rsidR="00AF4F63" w:rsidRDefault="00AF4F63" w:rsidP="007308F1">
            <w:pPr>
              <w:pStyle w:val="LFTTabletext"/>
            </w:pPr>
            <w:r>
              <w:t>Not recommended</w:t>
            </w:r>
          </w:p>
          <w:p w14:paraId="56E156ED" w14:textId="77777777" w:rsidR="00AF4F63" w:rsidRPr="00954D7E" w:rsidRDefault="00AF4F63" w:rsidP="007308F1">
            <w:pPr>
              <w:pStyle w:val="LFTTabletext"/>
            </w:pPr>
            <w:r>
              <w:t>Soils analysis should be conducted to confirm limiting aspects of soil profile.</w:t>
            </w:r>
          </w:p>
        </w:tc>
      </w:tr>
      <w:tr w:rsidR="00AF4F63" w:rsidRPr="00313102" w14:paraId="1FF2F64B" w14:textId="77777777" w:rsidTr="007308F1">
        <w:trPr>
          <w:trHeight w:val="144"/>
        </w:trPr>
        <w:tc>
          <w:tcPr>
            <w:tcW w:w="2358" w:type="dxa"/>
            <w:tcBorders>
              <w:top w:val="single" w:sz="4" w:space="0" w:color="auto"/>
              <w:left w:val="single" w:sz="4" w:space="0" w:color="auto"/>
              <w:bottom w:val="single" w:sz="4" w:space="0" w:color="auto"/>
              <w:right w:val="single" w:sz="4" w:space="0" w:color="auto"/>
            </w:tcBorders>
          </w:tcPr>
          <w:p w14:paraId="67CFCE4A" w14:textId="77777777" w:rsidR="00AF4F63" w:rsidRPr="00954D7E" w:rsidRDefault="00AF4F63" w:rsidP="007308F1">
            <w:pPr>
              <w:pStyle w:val="LFTTabletext"/>
            </w:pPr>
            <w:r>
              <w:t>Stormwater ponds</w:t>
            </w:r>
          </w:p>
        </w:tc>
        <w:tc>
          <w:tcPr>
            <w:tcW w:w="6390" w:type="dxa"/>
            <w:tcBorders>
              <w:top w:val="single" w:sz="4" w:space="0" w:color="auto"/>
              <w:left w:val="single" w:sz="4" w:space="0" w:color="auto"/>
              <w:bottom w:val="single" w:sz="4" w:space="0" w:color="auto"/>
              <w:right w:val="single" w:sz="4" w:space="0" w:color="auto"/>
            </w:tcBorders>
          </w:tcPr>
          <w:p w14:paraId="2A29C839" w14:textId="77777777" w:rsidR="00AF4F63" w:rsidRPr="00954D7E" w:rsidRDefault="00AF4F63" w:rsidP="007308F1">
            <w:pPr>
              <w:pStyle w:val="LFTTabletext"/>
            </w:pPr>
            <w:r>
              <w:t>Acceptable practice since the soils will help maintain a permanent pool.</w:t>
            </w:r>
          </w:p>
        </w:tc>
      </w:tr>
      <w:tr w:rsidR="00AF4F63" w:rsidRPr="00313102" w14:paraId="46B40467" w14:textId="77777777" w:rsidTr="007308F1">
        <w:trPr>
          <w:trHeight w:val="144"/>
        </w:trPr>
        <w:tc>
          <w:tcPr>
            <w:tcW w:w="2358" w:type="dxa"/>
            <w:tcBorders>
              <w:top w:val="single" w:sz="4" w:space="0" w:color="auto"/>
              <w:left w:val="single" w:sz="4" w:space="0" w:color="auto"/>
              <w:bottom w:val="single" w:sz="4" w:space="0" w:color="auto"/>
              <w:right w:val="single" w:sz="4" w:space="0" w:color="auto"/>
            </w:tcBorders>
          </w:tcPr>
          <w:p w14:paraId="46DF6EF1" w14:textId="77777777" w:rsidR="00AF4F63" w:rsidRPr="00954D7E" w:rsidRDefault="00AF4F63" w:rsidP="007308F1">
            <w:pPr>
              <w:pStyle w:val="LFTTabletext"/>
            </w:pPr>
            <w:r>
              <w:t>Constructed wetlands</w:t>
            </w:r>
          </w:p>
        </w:tc>
        <w:tc>
          <w:tcPr>
            <w:tcW w:w="6390" w:type="dxa"/>
            <w:tcBorders>
              <w:top w:val="single" w:sz="4" w:space="0" w:color="auto"/>
              <w:left w:val="single" w:sz="4" w:space="0" w:color="auto"/>
              <w:bottom w:val="single" w:sz="4" w:space="0" w:color="auto"/>
              <w:right w:val="single" w:sz="4" w:space="0" w:color="auto"/>
            </w:tcBorders>
          </w:tcPr>
          <w:p w14:paraId="04AFE946" w14:textId="77777777" w:rsidR="00AF4F63" w:rsidRDefault="00AF4F63" w:rsidP="007308F1">
            <w:pPr>
              <w:pStyle w:val="LFTTabletext"/>
            </w:pPr>
            <w:r>
              <w:t>Acceptable practice since the soils will help marinating a permanent pool if the practice is not tied into the groundwater table.</w:t>
            </w:r>
          </w:p>
          <w:p w14:paraId="6B94CE1C" w14:textId="77777777" w:rsidR="00AF4F63" w:rsidRPr="00954D7E" w:rsidRDefault="00AF4F63" w:rsidP="007308F1">
            <w:pPr>
              <w:pStyle w:val="LFTTabletext"/>
            </w:pPr>
            <w:r>
              <w:t>Compost amendments may be necessary to establish a suitable planting bed.</w:t>
            </w:r>
          </w:p>
        </w:tc>
      </w:tr>
      <w:tr w:rsidR="00AF4F63" w:rsidRPr="00313102" w14:paraId="0E6FD3CA" w14:textId="77777777" w:rsidTr="007308F1">
        <w:trPr>
          <w:trHeight w:val="512"/>
        </w:trPr>
        <w:tc>
          <w:tcPr>
            <w:tcW w:w="8748" w:type="dxa"/>
            <w:gridSpan w:val="2"/>
            <w:tcBorders>
              <w:top w:val="single" w:sz="4" w:space="0" w:color="auto"/>
              <w:left w:val="single" w:sz="4" w:space="0" w:color="auto"/>
              <w:bottom w:val="single" w:sz="4" w:space="0" w:color="auto"/>
              <w:right w:val="single" w:sz="4" w:space="0" w:color="auto"/>
            </w:tcBorders>
          </w:tcPr>
          <w:p w14:paraId="0319C38E" w14:textId="77777777" w:rsidR="00AF4F63" w:rsidRDefault="00AF4F63" w:rsidP="007308F1">
            <w:pPr>
              <w:pStyle w:val="LFTTabletext"/>
            </w:pPr>
            <w:r w:rsidRPr="00B66BB8">
              <w:t xml:space="preserve">Source: </w:t>
            </w:r>
            <w:r>
              <w:t>MPCA Stormwater Manual</w:t>
            </w:r>
          </w:p>
        </w:tc>
      </w:tr>
    </w:tbl>
    <w:p w14:paraId="49EFFBBE" w14:textId="77777777" w:rsidR="004A4AC6" w:rsidRDefault="004A4AC6" w:rsidP="0005723F">
      <w:pPr>
        <w:pStyle w:val="LFTBody"/>
        <w:sectPr w:rsidR="004A4AC6" w:rsidSect="003F577A">
          <w:headerReference w:type="even" r:id="rId32"/>
          <w:headerReference w:type="default" r:id="rId33"/>
          <w:footerReference w:type="even" r:id="rId34"/>
          <w:footerReference w:type="default" r:id="rId35"/>
          <w:headerReference w:type="first" r:id="rId36"/>
          <w:footerReference w:type="first" r:id="rId37"/>
          <w:pgSz w:w="12240" w:h="15840" w:code="1"/>
          <w:pgMar w:top="1440" w:right="1440" w:bottom="1440" w:left="1627" w:header="720" w:footer="720" w:gutter="0"/>
          <w:pgNumType w:start="1"/>
          <w:cols w:space="720"/>
          <w:titlePg/>
          <w:docGrid w:linePitch="360"/>
        </w:sectPr>
      </w:pPr>
    </w:p>
    <w:p w14:paraId="7064D49E" w14:textId="36BE9F3F" w:rsidR="00827FC9" w:rsidRDefault="00827FC9" w:rsidP="0005723F">
      <w:pPr>
        <w:pStyle w:val="LFTBody"/>
      </w:pPr>
    </w:p>
    <w:p w14:paraId="44CC24F4" w14:textId="77777777" w:rsidR="004A4AC6" w:rsidRPr="00A576FF" w:rsidRDefault="004A4AC6" w:rsidP="004A4AC6">
      <w:pPr>
        <w:pStyle w:val="LFTMemoTEXT"/>
        <w:spacing w:after="0" w:line="264" w:lineRule="auto"/>
        <w:rPr>
          <w:rFonts w:asciiTheme="majorHAnsi" w:hAnsiTheme="majorHAnsi"/>
          <w:sz w:val="21"/>
          <w:szCs w:val="21"/>
        </w:rPr>
      </w:pPr>
      <w:r w:rsidRPr="000D50CE">
        <w:rPr>
          <w:rFonts w:asciiTheme="majorHAnsi" w:hAnsiTheme="majorHAnsi"/>
          <w:b/>
          <w:sz w:val="21"/>
          <w:szCs w:val="21"/>
        </w:rPr>
        <w:t xml:space="preserve">Table </w:t>
      </w:r>
      <w:r>
        <w:rPr>
          <w:rFonts w:asciiTheme="majorHAnsi" w:hAnsiTheme="majorHAnsi"/>
          <w:b/>
          <w:sz w:val="21"/>
          <w:szCs w:val="21"/>
        </w:rPr>
        <w:t>2.2</w:t>
      </w:r>
      <w:r w:rsidRPr="000D50CE">
        <w:rPr>
          <w:rFonts w:asciiTheme="majorHAnsi" w:hAnsiTheme="majorHAnsi"/>
          <w:b/>
          <w:sz w:val="21"/>
          <w:szCs w:val="21"/>
        </w:rPr>
        <w:t xml:space="preserve"> </w:t>
      </w:r>
      <w:r>
        <w:rPr>
          <w:rFonts w:asciiTheme="majorHAnsi" w:hAnsiTheme="majorHAnsi"/>
          <w:b/>
          <w:sz w:val="21"/>
          <w:szCs w:val="21"/>
        </w:rPr>
        <w:t>How to Investigate for Certain Site Conditions that Create Constraints on Stormwater Infiltration</w:t>
      </w:r>
      <w:r>
        <w:rPr>
          <w:rFonts w:asciiTheme="majorHAnsi" w:hAnsiTheme="majorHAnsi"/>
          <w:sz w:val="21"/>
          <w:szCs w:val="21"/>
        </w:rPr>
        <w:t xml:space="preserve"> </w:t>
      </w:r>
    </w:p>
    <w:tbl>
      <w:tblPr>
        <w:tblStyle w:val="TableGrid"/>
        <w:tblW w:w="21888" w:type="dxa"/>
        <w:tblLayout w:type="fixed"/>
        <w:tblLook w:val="04A0" w:firstRow="1" w:lastRow="0" w:firstColumn="1" w:lastColumn="0" w:noHBand="0" w:noVBand="1"/>
      </w:tblPr>
      <w:tblGrid>
        <w:gridCol w:w="1368"/>
        <w:gridCol w:w="4860"/>
        <w:gridCol w:w="5130"/>
        <w:gridCol w:w="5130"/>
        <w:gridCol w:w="5400"/>
      </w:tblGrid>
      <w:tr w:rsidR="004A4AC6" w:rsidRPr="00CB4658" w14:paraId="58F489EA" w14:textId="77777777" w:rsidTr="00CB4658">
        <w:tc>
          <w:tcPr>
            <w:tcW w:w="1368" w:type="dxa"/>
            <w:tcBorders>
              <w:top w:val="single" w:sz="4" w:space="0" w:color="auto"/>
              <w:left w:val="single" w:sz="4" w:space="0" w:color="auto"/>
              <w:bottom w:val="single" w:sz="4" w:space="0" w:color="auto"/>
              <w:right w:val="single" w:sz="4" w:space="0" w:color="FFFBF0" w:themeColor="background1"/>
            </w:tcBorders>
            <w:shd w:val="clear" w:color="auto" w:fill="00539B" w:themeFill="text2"/>
          </w:tcPr>
          <w:p w14:paraId="66B275A3" w14:textId="77777777" w:rsidR="004A4AC6" w:rsidRPr="00CB4658" w:rsidRDefault="004A4AC6" w:rsidP="00CB4658">
            <w:pPr>
              <w:spacing w:after="120"/>
              <w:jc w:val="center"/>
              <w:rPr>
                <w:rFonts w:asciiTheme="majorHAnsi" w:hAnsiTheme="majorHAnsi"/>
                <w:b/>
                <w:bCs/>
                <w:color w:val="FFFBF0" w:themeColor="background1"/>
              </w:rPr>
            </w:pPr>
          </w:p>
        </w:tc>
        <w:tc>
          <w:tcPr>
            <w:tcW w:w="4860" w:type="dxa"/>
            <w:tcBorders>
              <w:top w:val="single" w:sz="4" w:space="0" w:color="auto"/>
              <w:left w:val="single" w:sz="4" w:space="0" w:color="FFFBF0" w:themeColor="background1"/>
              <w:bottom w:val="single" w:sz="4" w:space="0" w:color="auto"/>
              <w:right w:val="single" w:sz="4" w:space="0" w:color="FFFBF0" w:themeColor="background1"/>
            </w:tcBorders>
            <w:shd w:val="clear" w:color="auto" w:fill="00539B" w:themeFill="text2"/>
          </w:tcPr>
          <w:p w14:paraId="6757D59D" w14:textId="77777777" w:rsidR="004A4AC6" w:rsidRPr="00CB4658" w:rsidRDefault="004A4AC6" w:rsidP="00CB4658">
            <w:pPr>
              <w:spacing w:after="120"/>
              <w:jc w:val="center"/>
              <w:rPr>
                <w:rFonts w:asciiTheme="majorHAnsi" w:hAnsiTheme="majorHAnsi"/>
                <w:b/>
                <w:bCs/>
                <w:color w:val="FFFBF0" w:themeColor="background1"/>
              </w:rPr>
            </w:pPr>
            <w:r w:rsidRPr="00CB4658">
              <w:rPr>
                <w:rFonts w:asciiTheme="majorHAnsi" w:hAnsiTheme="majorHAnsi"/>
                <w:b/>
                <w:bCs/>
                <w:color w:val="FFFBF0" w:themeColor="background1"/>
              </w:rPr>
              <w:t>Shallow Groundwater</w:t>
            </w:r>
          </w:p>
        </w:tc>
        <w:tc>
          <w:tcPr>
            <w:tcW w:w="5130" w:type="dxa"/>
            <w:tcBorders>
              <w:top w:val="single" w:sz="4" w:space="0" w:color="auto"/>
              <w:left w:val="single" w:sz="4" w:space="0" w:color="FFFBF0" w:themeColor="background1"/>
              <w:bottom w:val="single" w:sz="4" w:space="0" w:color="auto"/>
              <w:right w:val="single" w:sz="4" w:space="0" w:color="FFFBF0" w:themeColor="background1"/>
            </w:tcBorders>
            <w:shd w:val="clear" w:color="auto" w:fill="00539B" w:themeFill="text2"/>
          </w:tcPr>
          <w:p w14:paraId="2FAADB5A" w14:textId="77777777" w:rsidR="004A4AC6" w:rsidRPr="00CB4658" w:rsidRDefault="004A4AC6" w:rsidP="00CB4658">
            <w:pPr>
              <w:spacing w:after="120"/>
              <w:jc w:val="center"/>
              <w:rPr>
                <w:rFonts w:asciiTheme="majorHAnsi" w:hAnsiTheme="majorHAnsi"/>
                <w:b/>
                <w:bCs/>
                <w:color w:val="FFFBF0" w:themeColor="background1"/>
              </w:rPr>
            </w:pPr>
            <w:r w:rsidRPr="00CB4658">
              <w:rPr>
                <w:rFonts w:asciiTheme="majorHAnsi" w:hAnsiTheme="majorHAnsi"/>
                <w:b/>
                <w:bCs/>
                <w:color w:val="FFFBF0" w:themeColor="background1"/>
              </w:rPr>
              <w:t>Shallow Bedrock</w:t>
            </w:r>
          </w:p>
        </w:tc>
        <w:tc>
          <w:tcPr>
            <w:tcW w:w="5130" w:type="dxa"/>
            <w:tcBorders>
              <w:top w:val="single" w:sz="4" w:space="0" w:color="auto"/>
              <w:left w:val="single" w:sz="4" w:space="0" w:color="FFFBF0" w:themeColor="background1"/>
              <w:bottom w:val="single" w:sz="4" w:space="0" w:color="auto"/>
              <w:right w:val="single" w:sz="4" w:space="0" w:color="FFFBF0" w:themeColor="background1"/>
            </w:tcBorders>
            <w:shd w:val="clear" w:color="auto" w:fill="00539B" w:themeFill="text2"/>
          </w:tcPr>
          <w:p w14:paraId="48ADD413" w14:textId="77777777" w:rsidR="004A4AC6" w:rsidRPr="00CB4658" w:rsidRDefault="004A4AC6" w:rsidP="00CB4658">
            <w:pPr>
              <w:spacing w:after="120"/>
              <w:jc w:val="center"/>
              <w:rPr>
                <w:rFonts w:asciiTheme="majorHAnsi" w:hAnsiTheme="majorHAnsi"/>
                <w:b/>
                <w:bCs/>
                <w:color w:val="FFFBF0" w:themeColor="background1"/>
              </w:rPr>
            </w:pPr>
            <w:r w:rsidRPr="00CB4658">
              <w:rPr>
                <w:rFonts w:asciiTheme="majorHAnsi" w:hAnsiTheme="majorHAnsi"/>
                <w:b/>
                <w:bCs/>
                <w:color w:val="FFFBF0" w:themeColor="background1"/>
              </w:rPr>
              <w:t>Soils with Low Infiltration Capacity</w:t>
            </w:r>
          </w:p>
        </w:tc>
        <w:tc>
          <w:tcPr>
            <w:tcW w:w="5400" w:type="dxa"/>
            <w:tcBorders>
              <w:top w:val="single" w:sz="4" w:space="0" w:color="auto"/>
              <w:left w:val="single" w:sz="4" w:space="0" w:color="FFFBF0" w:themeColor="background1"/>
              <w:bottom w:val="single" w:sz="4" w:space="0" w:color="auto"/>
              <w:right w:val="single" w:sz="4" w:space="0" w:color="FFFBF0" w:themeColor="background1"/>
            </w:tcBorders>
            <w:shd w:val="clear" w:color="auto" w:fill="00539B" w:themeFill="text2"/>
          </w:tcPr>
          <w:p w14:paraId="4FADC893" w14:textId="77777777" w:rsidR="004A4AC6" w:rsidRPr="00CB4658" w:rsidRDefault="004A4AC6" w:rsidP="00CB4658">
            <w:pPr>
              <w:spacing w:after="120"/>
              <w:jc w:val="center"/>
              <w:rPr>
                <w:rFonts w:asciiTheme="majorHAnsi" w:hAnsiTheme="majorHAnsi"/>
                <w:b/>
                <w:bCs/>
                <w:color w:val="FFFBF0" w:themeColor="background1"/>
              </w:rPr>
            </w:pPr>
            <w:r w:rsidRPr="00CB4658">
              <w:rPr>
                <w:rFonts w:asciiTheme="majorHAnsi" w:hAnsiTheme="majorHAnsi"/>
                <w:b/>
                <w:bCs/>
                <w:color w:val="FFFBF0" w:themeColor="background1"/>
              </w:rPr>
              <w:t>Karst</w:t>
            </w:r>
          </w:p>
        </w:tc>
      </w:tr>
      <w:tr w:rsidR="004A4AC6" w:rsidRPr="00CB4658" w14:paraId="2D7467B1" w14:textId="77777777" w:rsidTr="00CB4658">
        <w:trPr>
          <w:trHeight w:val="600"/>
        </w:trPr>
        <w:tc>
          <w:tcPr>
            <w:tcW w:w="1368" w:type="dxa"/>
            <w:tcBorders>
              <w:top w:val="single" w:sz="4" w:space="0" w:color="auto"/>
              <w:left w:val="single" w:sz="4" w:space="0" w:color="auto"/>
              <w:bottom w:val="single" w:sz="4" w:space="0" w:color="auto"/>
              <w:right w:val="single" w:sz="4" w:space="0" w:color="auto"/>
            </w:tcBorders>
          </w:tcPr>
          <w:p w14:paraId="385BC008" w14:textId="77777777" w:rsidR="004A4AC6" w:rsidRPr="00CB4658" w:rsidRDefault="004A4AC6" w:rsidP="00CB4658">
            <w:pPr>
              <w:pStyle w:val="LFTMemoTEXT"/>
              <w:spacing w:after="0" w:line="240" w:lineRule="auto"/>
              <w:rPr>
                <w:rFonts w:asciiTheme="majorHAnsi" w:hAnsiTheme="majorHAnsi"/>
                <w:bCs/>
                <w:sz w:val="20"/>
              </w:rPr>
            </w:pPr>
            <w:r w:rsidRPr="00CB4658">
              <w:rPr>
                <w:rFonts w:asciiTheme="majorHAnsi" w:hAnsiTheme="majorHAnsi"/>
                <w:bCs/>
                <w:sz w:val="20"/>
              </w:rPr>
              <w:t>Preliminary site investigation</w:t>
            </w:r>
          </w:p>
        </w:tc>
        <w:tc>
          <w:tcPr>
            <w:tcW w:w="4860" w:type="dxa"/>
            <w:tcBorders>
              <w:top w:val="single" w:sz="4" w:space="0" w:color="auto"/>
              <w:left w:val="single" w:sz="4" w:space="0" w:color="auto"/>
              <w:bottom w:val="single" w:sz="4" w:space="0" w:color="auto"/>
              <w:right w:val="single" w:sz="4" w:space="0" w:color="auto"/>
            </w:tcBorders>
          </w:tcPr>
          <w:p w14:paraId="32E2CD92" w14:textId="77777777" w:rsidR="004A4AC6" w:rsidRPr="00CB4658" w:rsidRDefault="004A4AC6" w:rsidP="00CB4658">
            <w:pPr>
              <w:pStyle w:val="LFTMemoTEXT"/>
              <w:spacing w:after="0" w:line="240" w:lineRule="auto"/>
              <w:rPr>
                <w:rFonts w:asciiTheme="majorHAnsi" w:hAnsiTheme="majorHAnsi"/>
                <w:bCs/>
                <w:sz w:val="20"/>
              </w:rPr>
            </w:pPr>
            <w:r w:rsidRPr="00CB4658">
              <w:rPr>
                <w:rFonts w:asciiTheme="majorHAnsi" w:hAnsiTheme="majorHAnsi"/>
                <w:bCs/>
                <w:sz w:val="20"/>
              </w:rPr>
              <w:t>NA</w:t>
            </w:r>
          </w:p>
        </w:tc>
        <w:tc>
          <w:tcPr>
            <w:tcW w:w="5130" w:type="dxa"/>
            <w:tcBorders>
              <w:top w:val="single" w:sz="4" w:space="0" w:color="auto"/>
              <w:left w:val="single" w:sz="4" w:space="0" w:color="auto"/>
              <w:bottom w:val="single" w:sz="4" w:space="0" w:color="auto"/>
              <w:right w:val="single" w:sz="4" w:space="0" w:color="auto"/>
            </w:tcBorders>
          </w:tcPr>
          <w:p w14:paraId="41F52BA3" w14:textId="77777777" w:rsidR="004A4AC6" w:rsidRPr="00CB4658" w:rsidRDefault="004A4AC6" w:rsidP="00CB4658">
            <w:pPr>
              <w:pStyle w:val="LFTMemoTEXT"/>
              <w:spacing w:after="0" w:line="240" w:lineRule="auto"/>
              <w:rPr>
                <w:rFonts w:asciiTheme="majorHAnsi" w:hAnsiTheme="majorHAnsi"/>
                <w:bCs/>
                <w:sz w:val="20"/>
              </w:rPr>
            </w:pPr>
            <w:r w:rsidRPr="00CB4658">
              <w:rPr>
                <w:rFonts w:asciiTheme="majorHAnsi" w:hAnsiTheme="majorHAnsi"/>
                <w:bCs/>
                <w:sz w:val="20"/>
              </w:rPr>
              <w:t>NA</w:t>
            </w:r>
          </w:p>
        </w:tc>
        <w:tc>
          <w:tcPr>
            <w:tcW w:w="5130" w:type="dxa"/>
            <w:tcBorders>
              <w:top w:val="single" w:sz="4" w:space="0" w:color="auto"/>
              <w:left w:val="single" w:sz="4" w:space="0" w:color="auto"/>
              <w:bottom w:val="single" w:sz="4" w:space="0" w:color="auto"/>
              <w:right w:val="single" w:sz="4" w:space="0" w:color="auto"/>
            </w:tcBorders>
          </w:tcPr>
          <w:p w14:paraId="7597DEA2" w14:textId="77777777" w:rsidR="004A4AC6" w:rsidRPr="00CB4658" w:rsidRDefault="004A4AC6" w:rsidP="00CB4658">
            <w:pPr>
              <w:pStyle w:val="LFTMemoTEXT"/>
              <w:spacing w:after="0" w:line="240" w:lineRule="auto"/>
              <w:rPr>
                <w:rFonts w:asciiTheme="majorHAnsi" w:hAnsiTheme="majorHAnsi"/>
                <w:bCs/>
                <w:sz w:val="20"/>
              </w:rPr>
            </w:pPr>
            <w:r w:rsidRPr="00CB4658">
              <w:rPr>
                <w:rFonts w:asciiTheme="majorHAnsi" w:hAnsiTheme="majorHAnsi"/>
                <w:bCs/>
                <w:sz w:val="20"/>
              </w:rPr>
              <w:t>NA</w:t>
            </w:r>
          </w:p>
        </w:tc>
        <w:tc>
          <w:tcPr>
            <w:tcW w:w="5400" w:type="dxa"/>
            <w:tcBorders>
              <w:top w:val="single" w:sz="4" w:space="0" w:color="auto"/>
              <w:left w:val="single" w:sz="4" w:space="0" w:color="auto"/>
              <w:bottom w:val="single" w:sz="4" w:space="0" w:color="auto"/>
              <w:right w:val="single" w:sz="4" w:space="0" w:color="auto"/>
            </w:tcBorders>
          </w:tcPr>
          <w:p w14:paraId="5E44E58F" w14:textId="77777777" w:rsidR="004A4AC6" w:rsidRPr="00CB4658" w:rsidRDefault="004A4AC6" w:rsidP="00CB4658">
            <w:pPr>
              <w:pStyle w:val="LFTBody"/>
              <w:rPr>
                <w:rFonts w:asciiTheme="majorHAnsi" w:hAnsiTheme="majorHAnsi"/>
                <w:sz w:val="20"/>
              </w:rPr>
            </w:pPr>
            <w:r w:rsidRPr="00CB4658">
              <w:rPr>
                <w:rFonts w:asciiTheme="majorHAnsi" w:hAnsiTheme="majorHAnsi"/>
                <w:sz w:val="20"/>
              </w:rPr>
              <w:t>The level of detail required will depend on the likelihood that karst is present and any local regulations. The preliminary site investigation should include, but not be limited to (Pennsylvania BMP, 2009):</w:t>
            </w:r>
          </w:p>
          <w:p w14:paraId="142790C5"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A review of aerial photographs, geological literature, sinkhole maps, previous soil borings, existing well data, and municipal wellhead or aquifer protection plans.</w:t>
            </w:r>
          </w:p>
          <w:p w14:paraId="4CE985AB"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A site reconnaissance, including a thorough field examination for features such as limestone pinnacles, sinkholes, closed depressions, fracture traces, faults, springs, and seeps.</w:t>
            </w:r>
          </w:p>
          <w:p w14:paraId="35B9E27D"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The site should be observed under varying weather conditions, especially during heavy rains and in different seasons to identify and map any natural drainageways.</w:t>
            </w:r>
          </w:p>
          <w:p w14:paraId="3732A86E" w14:textId="77777777" w:rsidR="004A4AC6" w:rsidRPr="00CB4658" w:rsidRDefault="004A4AC6" w:rsidP="00CB4658">
            <w:pPr>
              <w:pStyle w:val="LFTMemoTEXT"/>
              <w:spacing w:after="0" w:line="240" w:lineRule="auto"/>
              <w:ind w:left="252"/>
              <w:rPr>
                <w:rFonts w:asciiTheme="majorHAnsi" w:hAnsiTheme="majorHAnsi"/>
                <w:bCs/>
                <w:sz w:val="12"/>
                <w:szCs w:val="12"/>
              </w:rPr>
            </w:pPr>
          </w:p>
        </w:tc>
      </w:tr>
      <w:tr w:rsidR="004A4AC6" w:rsidRPr="00CB4658" w14:paraId="0B971288" w14:textId="77777777" w:rsidTr="00CB4658">
        <w:trPr>
          <w:trHeight w:val="600"/>
        </w:trPr>
        <w:tc>
          <w:tcPr>
            <w:tcW w:w="1368" w:type="dxa"/>
            <w:tcBorders>
              <w:top w:val="single" w:sz="4" w:space="0" w:color="auto"/>
              <w:left w:val="single" w:sz="4" w:space="0" w:color="auto"/>
              <w:bottom w:val="single" w:sz="4" w:space="0" w:color="auto"/>
              <w:right w:val="single" w:sz="4" w:space="0" w:color="auto"/>
            </w:tcBorders>
          </w:tcPr>
          <w:p w14:paraId="65BAC212" w14:textId="77777777" w:rsidR="004A4AC6" w:rsidRPr="00CB4658" w:rsidRDefault="004A4AC6" w:rsidP="00CB4658">
            <w:pPr>
              <w:pStyle w:val="LFTMemoTEXT"/>
              <w:spacing w:after="0" w:line="240" w:lineRule="auto"/>
              <w:rPr>
                <w:rFonts w:asciiTheme="majorHAnsi" w:hAnsiTheme="majorHAnsi"/>
                <w:bCs/>
                <w:sz w:val="20"/>
              </w:rPr>
            </w:pPr>
            <w:r w:rsidRPr="00CB4658">
              <w:rPr>
                <w:rFonts w:asciiTheme="majorHAnsi" w:hAnsiTheme="majorHAnsi"/>
                <w:bCs/>
                <w:sz w:val="20"/>
              </w:rPr>
              <w:t>Subsurface material investigation</w:t>
            </w:r>
          </w:p>
        </w:tc>
        <w:tc>
          <w:tcPr>
            <w:tcW w:w="4860" w:type="dxa"/>
            <w:tcBorders>
              <w:top w:val="single" w:sz="4" w:space="0" w:color="auto"/>
              <w:left w:val="single" w:sz="4" w:space="0" w:color="auto"/>
              <w:bottom w:val="single" w:sz="4" w:space="0" w:color="auto"/>
              <w:right w:val="single" w:sz="4" w:space="0" w:color="auto"/>
            </w:tcBorders>
          </w:tcPr>
          <w:p w14:paraId="48B42566" w14:textId="77777777" w:rsidR="004A4AC6" w:rsidRPr="00CB4658" w:rsidRDefault="004A4AC6" w:rsidP="00CB4658">
            <w:pPr>
              <w:pStyle w:val="LFTMemoTEXT"/>
              <w:spacing w:after="0" w:line="240" w:lineRule="auto"/>
              <w:rPr>
                <w:rFonts w:asciiTheme="majorHAnsi" w:hAnsiTheme="majorHAnsi"/>
                <w:bCs/>
                <w:sz w:val="20"/>
              </w:rPr>
            </w:pPr>
            <w:r w:rsidRPr="00CB4658">
              <w:rPr>
                <w:rFonts w:asciiTheme="majorHAnsi" w:hAnsiTheme="majorHAnsi"/>
                <w:bCs/>
                <w:sz w:val="20"/>
              </w:rPr>
              <w:t>The investigation is designed to determine the nature and thickness of subsurface materials, including depth to bedrock and to the water table. Subsurface data for depth to groundwater may be acquired by soil boring or studying existing wells on the site, if present. These field data should be supplemented by geophysical investigation techniques deemed appropriate by a qualified professional, which will show the location of the groundwater formations under the surface. The data listed below should be acquired under the direct supervision of a qualified geologist, geotechnical engineer, or soil scientist who is experienced in conducting such studies. Pertinent site information should include the following:</w:t>
            </w:r>
          </w:p>
          <w:p w14:paraId="420B935F"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Known groundwater depth or bedrock characteristics (type, geologic contacts, faults, geologic structure, rock surface configuration)</w:t>
            </w:r>
          </w:p>
          <w:p w14:paraId="51216AC5"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Soil characteristics (type, thickness, mapped unit)</w:t>
            </w:r>
          </w:p>
          <w:p w14:paraId="0A09D772"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Bedrock outcrop areas</w:t>
            </w:r>
          </w:p>
          <w:p w14:paraId="369AD5A8" w14:textId="77777777" w:rsidR="004A4AC6" w:rsidRPr="00CB4658" w:rsidRDefault="004A4AC6" w:rsidP="00CB4658">
            <w:pPr>
              <w:pStyle w:val="LFTMemoTEXT"/>
              <w:spacing w:after="0" w:line="240" w:lineRule="auto"/>
              <w:rPr>
                <w:rFonts w:asciiTheme="majorHAnsi" w:hAnsiTheme="majorHAnsi"/>
                <w:bCs/>
                <w:sz w:val="20"/>
              </w:rPr>
            </w:pPr>
          </w:p>
        </w:tc>
        <w:tc>
          <w:tcPr>
            <w:tcW w:w="5130" w:type="dxa"/>
            <w:tcBorders>
              <w:top w:val="single" w:sz="4" w:space="0" w:color="auto"/>
              <w:left w:val="single" w:sz="4" w:space="0" w:color="auto"/>
              <w:bottom w:val="single" w:sz="4" w:space="0" w:color="auto"/>
              <w:right w:val="single" w:sz="4" w:space="0" w:color="auto"/>
            </w:tcBorders>
          </w:tcPr>
          <w:p w14:paraId="6D034C12" w14:textId="77777777" w:rsidR="004A4AC6" w:rsidRPr="00CB4658" w:rsidRDefault="004A4AC6" w:rsidP="00CB4658">
            <w:pPr>
              <w:pStyle w:val="LFTMemoTEXT"/>
              <w:spacing w:after="0" w:line="240" w:lineRule="auto"/>
              <w:rPr>
                <w:rFonts w:asciiTheme="majorHAnsi" w:hAnsiTheme="majorHAnsi"/>
                <w:bCs/>
                <w:sz w:val="20"/>
              </w:rPr>
            </w:pPr>
            <w:r w:rsidRPr="00CB4658">
              <w:rPr>
                <w:rFonts w:asciiTheme="majorHAnsi" w:hAnsiTheme="majorHAnsi"/>
                <w:bCs/>
                <w:sz w:val="20"/>
              </w:rPr>
              <w:t>The investigation is designed to determine the nature and thickness of subsurface materials, including depth to bedrock and to the water table. Subsurface data for depth to groundwater may be acquired by soil boring or backhoe investigation. These field data should be supplemented by geophysical investigation techniques deemed appropriate by a qualified professional, which will show the location of the groundwater formations under the surface. The data listed below should be acquired under the direct supervision of a qualified geologist, geotechnical engineer, or soil scientist who is experienced in conducting such studies. Pertinent site information should include the following:</w:t>
            </w:r>
          </w:p>
          <w:p w14:paraId="328A37AA"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Known groundwater depth or bedrock characteristics (type, geologic contacts, faults, geologic structure, rock surface configuration)</w:t>
            </w:r>
          </w:p>
          <w:p w14:paraId="7B864899"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Soil characteristics (type, thickness, mapped unit)</w:t>
            </w:r>
          </w:p>
          <w:p w14:paraId="699C1F99"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Bedrock outcrop areas</w:t>
            </w:r>
          </w:p>
          <w:p w14:paraId="257520E7" w14:textId="77777777" w:rsidR="004A4AC6" w:rsidRPr="00CB4658" w:rsidRDefault="004A4AC6" w:rsidP="00CB4658">
            <w:pPr>
              <w:pStyle w:val="LFTTabletext"/>
              <w:spacing w:after="120" w:line="264" w:lineRule="auto"/>
              <w:rPr>
                <w:sz w:val="20"/>
              </w:rPr>
            </w:pPr>
          </w:p>
        </w:tc>
        <w:tc>
          <w:tcPr>
            <w:tcW w:w="5130" w:type="dxa"/>
            <w:tcBorders>
              <w:top w:val="single" w:sz="4" w:space="0" w:color="auto"/>
              <w:left w:val="single" w:sz="4" w:space="0" w:color="auto"/>
              <w:bottom w:val="single" w:sz="4" w:space="0" w:color="auto"/>
              <w:right w:val="single" w:sz="4" w:space="0" w:color="auto"/>
            </w:tcBorders>
          </w:tcPr>
          <w:p w14:paraId="197BFC1C" w14:textId="77777777" w:rsidR="004A4AC6" w:rsidRPr="00CB4658" w:rsidRDefault="004A4AC6" w:rsidP="00CB4658">
            <w:pPr>
              <w:pStyle w:val="LFTMemoTEXT"/>
              <w:spacing w:after="0" w:line="240" w:lineRule="auto"/>
              <w:rPr>
                <w:rFonts w:asciiTheme="majorHAnsi" w:hAnsiTheme="majorHAnsi"/>
                <w:bCs/>
                <w:sz w:val="20"/>
              </w:rPr>
            </w:pPr>
            <w:r w:rsidRPr="00CB4658">
              <w:rPr>
                <w:rFonts w:asciiTheme="majorHAnsi" w:hAnsiTheme="majorHAnsi"/>
                <w:bCs/>
                <w:sz w:val="20"/>
              </w:rPr>
              <w:t xml:space="preserve">Soil testing is recommended for all proposed stormwater facilities that plan to have a recharge or infiltration component to their design. Testing can be less rigorous than that for karst areas or sites with shallow bedrock and groundwater. The investigation is designed to identify and confirm the soil characteristics and determine their suitability, if any, for infiltration practices.  </w:t>
            </w:r>
          </w:p>
          <w:p w14:paraId="44838EDF" w14:textId="77777777" w:rsidR="004A4AC6" w:rsidRPr="00CB4658" w:rsidRDefault="004A4AC6" w:rsidP="00CB4658">
            <w:pPr>
              <w:pStyle w:val="LFTTabletext"/>
              <w:spacing w:after="120" w:line="264" w:lineRule="auto"/>
              <w:rPr>
                <w:sz w:val="20"/>
              </w:rPr>
            </w:pPr>
          </w:p>
        </w:tc>
        <w:tc>
          <w:tcPr>
            <w:tcW w:w="5400" w:type="dxa"/>
            <w:tcBorders>
              <w:top w:val="single" w:sz="4" w:space="0" w:color="auto"/>
              <w:left w:val="single" w:sz="4" w:space="0" w:color="auto"/>
              <w:bottom w:val="single" w:sz="4" w:space="0" w:color="auto"/>
              <w:right w:val="single" w:sz="4" w:space="0" w:color="auto"/>
            </w:tcBorders>
          </w:tcPr>
          <w:p w14:paraId="060CCC8B" w14:textId="77777777" w:rsidR="004A4AC6" w:rsidRPr="00CB4658" w:rsidRDefault="004A4AC6" w:rsidP="00CB4658">
            <w:pPr>
              <w:pStyle w:val="LFTBody"/>
              <w:rPr>
                <w:rFonts w:asciiTheme="majorHAnsi" w:hAnsiTheme="majorHAnsi"/>
                <w:sz w:val="20"/>
              </w:rPr>
            </w:pPr>
            <w:r w:rsidRPr="00CB4658">
              <w:rPr>
                <w:rFonts w:asciiTheme="majorHAnsi" w:hAnsiTheme="majorHAnsi"/>
                <w:sz w:val="20"/>
              </w:rPr>
              <w:t>The investigation should determine the nature and thickness of subsurface materials, including depth to bedrock and the water table. Subsurface data may be acquired by backhoe excavation and/or soil boring. These field data should be supplemented by geophysical investigation techniques deemed appropriate by a qualified professional, which will show the location of karst formations under the surface. This is an iterative process that might need to be repeated until the desired detailed knowledge of the site is obtained and fully understood. The data listed below should be acquired under the direct supervision of a qualified and experienced karst scientist. Pertinent site information to collect includes the following:</w:t>
            </w:r>
          </w:p>
          <w:p w14:paraId="340FA792"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Bedrock characteristics (ex. type, geologic contacts, faults, geologic structure, rock surface configuration)</w:t>
            </w:r>
          </w:p>
          <w:p w14:paraId="579C52EC"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Depth to the water table and depth to bedrock</w:t>
            </w:r>
          </w:p>
          <w:p w14:paraId="2325FB22"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Type and percent of coarse fragements</w:t>
            </w:r>
          </w:p>
          <w:p w14:paraId="03200133"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Soil characteristics (ex. color, type, thickness, mapped unit, geologic source/history)</w:t>
            </w:r>
          </w:p>
          <w:p w14:paraId="7DDABDB1"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Photo-geologic fracture trace map</w:t>
            </w:r>
          </w:p>
          <w:p w14:paraId="4BAC2A09"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Bedrock outcrop areas</w:t>
            </w:r>
          </w:p>
          <w:p w14:paraId="26D57A0E"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Sinkholes and/or other closed depressions</w:t>
            </w:r>
          </w:p>
          <w:p w14:paraId="66B83C4E"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Perennial and/or intermittent streams, and their flow behavior (ex. a stream in a karst area that loses volume could be a good indication of sinkhole infiltration)</w:t>
            </w:r>
          </w:p>
          <w:p w14:paraId="44EE78A4" w14:textId="77777777" w:rsidR="004A4AC6" w:rsidRPr="00CB4658" w:rsidRDefault="004A4AC6" w:rsidP="00CB4658">
            <w:pPr>
              <w:pStyle w:val="LFTMemoTEXT"/>
              <w:spacing w:after="0" w:line="240" w:lineRule="auto"/>
              <w:ind w:left="252"/>
              <w:rPr>
                <w:rFonts w:asciiTheme="majorHAnsi" w:hAnsiTheme="majorHAnsi"/>
                <w:bCs/>
                <w:sz w:val="12"/>
                <w:szCs w:val="12"/>
              </w:rPr>
            </w:pPr>
          </w:p>
        </w:tc>
      </w:tr>
      <w:tr w:rsidR="004A4AC6" w:rsidRPr="00CB4658" w14:paraId="04DA506C" w14:textId="77777777" w:rsidTr="00CB4658">
        <w:tc>
          <w:tcPr>
            <w:tcW w:w="1368" w:type="dxa"/>
            <w:tcBorders>
              <w:top w:val="single" w:sz="4" w:space="0" w:color="auto"/>
              <w:left w:val="single" w:sz="4" w:space="0" w:color="auto"/>
              <w:bottom w:val="single" w:sz="4" w:space="0" w:color="auto"/>
              <w:right w:val="single" w:sz="4" w:space="0" w:color="auto"/>
            </w:tcBorders>
          </w:tcPr>
          <w:p w14:paraId="3DAEB4E9" w14:textId="77777777" w:rsidR="004A4AC6" w:rsidRPr="00CB4658" w:rsidRDefault="004A4AC6" w:rsidP="00CB4658">
            <w:pPr>
              <w:pStyle w:val="LFTTabletext"/>
              <w:spacing w:after="120" w:line="264" w:lineRule="auto"/>
              <w:jc w:val="center"/>
              <w:rPr>
                <w:sz w:val="20"/>
              </w:rPr>
            </w:pPr>
            <w:r w:rsidRPr="00CB4658">
              <w:rPr>
                <w:sz w:val="20"/>
              </w:rPr>
              <w:t>Location of Soil Borings</w:t>
            </w:r>
          </w:p>
        </w:tc>
        <w:tc>
          <w:tcPr>
            <w:tcW w:w="4860" w:type="dxa"/>
            <w:tcBorders>
              <w:top w:val="single" w:sz="4" w:space="0" w:color="auto"/>
              <w:left w:val="single" w:sz="4" w:space="0" w:color="auto"/>
              <w:bottom w:val="single" w:sz="4" w:space="0" w:color="auto"/>
              <w:right w:val="single" w:sz="4" w:space="0" w:color="auto"/>
            </w:tcBorders>
          </w:tcPr>
          <w:p w14:paraId="725F2FC0" w14:textId="77777777" w:rsidR="004A4AC6" w:rsidRPr="00CB4658" w:rsidRDefault="004A4AC6" w:rsidP="00CB4658">
            <w:pPr>
              <w:pStyle w:val="LFTBody"/>
              <w:rPr>
                <w:rFonts w:asciiTheme="majorHAnsi" w:hAnsiTheme="majorHAnsi"/>
                <w:sz w:val="20"/>
              </w:rPr>
            </w:pPr>
            <w:r w:rsidRPr="00CB4658">
              <w:rPr>
                <w:rFonts w:asciiTheme="majorHAnsi" w:hAnsiTheme="majorHAnsi"/>
                <w:sz w:val="20"/>
              </w:rPr>
              <w:t>Borings should be located in order to provide representative area coverage of the proposed BMP facilities. The location of borings should be:</w:t>
            </w:r>
          </w:p>
          <w:p w14:paraId="48B7C22D"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lastRenderedPageBreak/>
              <w:t>Within each distinct major soil type present, as mapped by the Minnesota (MGS) and U.S. Geological Surveys (USGS) and local county records.</w:t>
            </w:r>
          </w:p>
          <w:p w14:paraId="4CA101B4"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Next to bedrock outcrop areas and/or in areas with known shallow groundwater if present.</w:t>
            </w:r>
          </w:p>
          <w:p w14:paraId="57CB298F"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Near the edges and center of the proposed practice and spaced at equal distances from one another.</w:t>
            </w:r>
          </w:p>
          <w:p w14:paraId="2806449E"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sz w:val="20"/>
              </w:rPr>
            </w:pPr>
            <w:r w:rsidRPr="00CB4658">
              <w:rPr>
                <w:rFonts w:asciiTheme="majorHAnsi" w:hAnsiTheme="majorHAnsi"/>
                <w:bCs/>
                <w:sz w:val="20"/>
              </w:rPr>
              <w:t>Near any areas identified as anomalies from any existing geophysical studies.</w:t>
            </w:r>
          </w:p>
        </w:tc>
        <w:tc>
          <w:tcPr>
            <w:tcW w:w="5130" w:type="dxa"/>
            <w:tcBorders>
              <w:top w:val="single" w:sz="4" w:space="0" w:color="auto"/>
              <w:left w:val="single" w:sz="4" w:space="0" w:color="auto"/>
              <w:bottom w:val="single" w:sz="4" w:space="0" w:color="auto"/>
              <w:right w:val="single" w:sz="4" w:space="0" w:color="auto"/>
            </w:tcBorders>
          </w:tcPr>
          <w:p w14:paraId="138329EF" w14:textId="77777777" w:rsidR="004A4AC6" w:rsidRPr="00CB4658" w:rsidRDefault="004A4AC6" w:rsidP="00CB4658">
            <w:pPr>
              <w:pStyle w:val="LFTBody"/>
              <w:rPr>
                <w:rFonts w:asciiTheme="majorHAnsi" w:hAnsiTheme="majorHAnsi"/>
                <w:sz w:val="20"/>
              </w:rPr>
            </w:pPr>
            <w:r w:rsidRPr="00CB4658">
              <w:rPr>
                <w:rFonts w:asciiTheme="majorHAnsi" w:hAnsiTheme="majorHAnsi"/>
                <w:sz w:val="20"/>
              </w:rPr>
              <w:lastRenderedPageBreak/>
              <w:t>Borings should be located in order to provide representative area coverage of the proposed BMP facilities. The location of borings should be:</w:t>
            </w:r>
          </w:p>
          <w:p w14:paraId="29EC62B5"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lastRenderedPageBreak/>
              <w:t>Within each distinct major soil type present, as mapped by the Minnesota (MGS) and U.S. Geological Surveys (USGS) and local county records.</w:t>
            </w:r>
          </w:p>
          <w:p w14:paraId="6C938C06"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Next to bedrock outcrop areas and/or in areas with known shallow groundwater if present.</w:t>
            </w:r>
          </w:p>
          <w:p w14:paraId="736FACF3"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Near the edges and center of the proposed practice and spaced at equal distances from one another.</w:t>
            </w:r>
          </w:p>
          <w:p w14:paraId="1E4AE057"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sz w:val="20"/>
              </w:rPr>
            </w:pPr>
            <w:r w:rsidRPr="00CB4658">
              <w:rPr>
                <w:rFonts w:asciiTheme="majorHAnsi" w:hAnsiTheme="majorHAnsi"/>
                <w:bCs/>
                <w:sz w:val="20"/>
              </w:rPr>
              <w:t>Near any areas identified as anomalies from any existing geophysical studies.</w:t>
            </w:r>
          </w:p>
        </w:tc>
        <w:tc>
          <w:tcPr>
            <w:tcW w:w="5130" w:type="dxa"/>
            <w:tcBorders>
              <w:top w:val="single" w:sz="4" w:space="0" w:color="auto"/>
              <w:left w:val="single" w:sz="4" w:space="0" w:color="auto"/>
              <w:bottom w:val="single" w:sz="4" w:space="0" w:color="auto"/>
              <w:right w:val="single" w:sz="4" w:space="0" w:color="auto"/>
            </w:tcBorders>
          </w:tcPr>
          <w:p w14:paraId="398D1909" w14:textId="77777777" w:rsidR="004A4AC6" w:rsidRPr="00CB4658" w:rsidRDefault="004A4AC6" w:rsidP="00CB4658">
            <w:pPr>
              <w:pStyle w:val="LFTBody"/>
              <w:rPr>
                <w:rFonts w:asciiTheme="majorHAnsi" w:hAnsiTheme="majorHAnsi"/>
                <w:sz w:val="20"/>
              </w:rPr>
            </w:pPr>
            <w:r w:rsidRPr="00CB4658">
              <w:rPr>
                <w:rFonts w:asciiTheme="majorHAnsi" w:hAnsiTheme="majorHAnsi"/>
                <w:sz w:val="20"/>
              </w:rPr>
              <w:lastRenderedPageBreak/>
              <w:t>Borings should be located in order to provide representative area coverage of the proposed BMP facilities. The location of borings should be:</w:t>
            </w:r>
          </w:p>
          <w:p w14:paraId="75064748"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lastRenderedPageBreak/>
              <w:t>Within each distinct major soil type present, as mapped by the Minnesota (MGS) and U.S. Geological Surveys (USGS) and local county records.</w:t>
            </w:r>
          </w:p>
          <w:p w14:paraId="0CE98D45"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Near the edges and center of the proposed practice and spaced at equal distances from one another.</w:t>
            </w:r>
          </w:p>
          <w:p w14:paraId="76DD4A22"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Near any areas identified as anomalies from any existing geophysical studies.</w:t>
            </w:r>
          </w:p>
          <w:p w14:paraId="2271F1CA" w14:textId="77777777" w:rsidR="004A4AC6" w:rsidRPr="00CB4658" w:rsidRDefault="004A4AC6" w:rsidP="00CB4658">
            <w:pPr>
              <w:pStyle w:val="LFTTabletext"/>
              <w:spacing w:after="120" w:line="264" w:lineRule="auto"/>
              <w:rPr>
                <w:sz w:val="20"/>
              </w:rPr>
            </w:pPr>
          </w:p>
        </w:tc>
        <w:tc>
          <w:tcPr>
            <w:tcW w:w="5400" w:type="dxa"/>
            <w:tcBorders>
              <w:top w:val="single" w:sz="4" w:space="0" w:color="auto"/>
              <w:left w:val="single" w:sz="4" w:space="0" w:color="auto"/>
              <w:bottom w:val="single" w:sz="4" w:space="0" w:color="auto"/>
              <w:right w:val="single" w:sz="4" w:space="0" w:color="auto"/>
            </w:tcBorders>
          </w:tcPr>
          <w:p w14:paraId="08559A8B" w14:textId="77777777" w:rsidR="004A4AC6" w:rsidRPr="00CB4658" w:rsidRDefault="004A4AC6" w:rsidP="00CB4658">
            <w:pPr>
              <w:pStyle w:val="LFTBody"/>
              <w:rPr>
                <w:rFonts w:asciiTheme="majorHAnsi" w:hAnsiTheme="majorHAnsi"/>
                <w:sz w:val="20"/>
              </w:rPr>
            </w:pPr>
            <w:r w:rsidRPr="00CB4658">
              <w:rPr>
                <w:rFonts w:asciiTheme="majorHAnsi" w:hAnsiTheme="majorHAnsi"/>
                <w:sz w:val="20"/>
              </w:rPr>
              <w:lastRenderedPageBreak/>
              <w:t xml:space="preserve">The local variability typical of karst areas could mean that a very different subsurface could exist close by, perhaps as little as 6 inches away. To accommodate this variability, the number and type of borings must be carefully assessed. If the goal is to locate a boring down the center of a sinkhole, the previous </w:t>
            </w:r>
            <w:r w:rsidRPr="00CB4658">
              <w:rPr>
                <w:rFonts w:asciiTheme="majorHAnsi" w:hAnsiTheme="majorHAnsi"/>
                <w:sz w:val="20"/>
              </w:rPr>
              <w:lastRenderedPageBreak/>
              <w:t>geophysical tests or excavation results can show the likely single location to achieve that goal. If the goal is to “characterize” the entire site, then an evaluation needs to occur to determine the number and depth needed to adequately represent the site. Again, the analyst must acknowledge the extreme variability and recognize that details can easily be missed. Some general guidance for locating borings include:</w:t>
            </w:r>
          </w:p>
          <w:p w14:paraId="571676E6"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Getting at least 1 boring in each distinct major soil type present, as mapped by the MGS and USGS and local county records.</w:t>
            </w:r>
          </w:p>
          <w:p w14:paraId="13DC3C6F"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Placing an adequate number as determined by a site investigation near on-site geologic or geomorphic indications of the presence of sinkholes or related karst features.</w:t>
            </w:r>
          </w:p>
          <w:p w14:paraId="030730DD"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Locating along photo-geologic fracture traces.</w:t>
            </w:r>
          </w:p>
          <w:p w14:paraId="45EA4D26"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Locating adjacent to bedrock outcrop areas.</w:t>
            </w:r>
          </w:p>
          <w:p w14:paraId="489E93DB"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Locating a sufficient number to adequately represent the area under any proposed stormwater facility.</w:t>
            </w:r>
          </w:p>
          <w:p w14:paraId="069B1C5E"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Documenting any areas identified as anomalies from any existing geophysical or other subsurface studies.</w:t>
            </w:r>
          </w:p>
          <w:p w14:paraId="079BF388" w14:textId="77777777" w:rsidR="004A4AC6" w:rsidRPr="00CB4658" w:rsidRDefault="004A4AC6" w:rsidP="00CB4658">
            <w:pPr>
              <w:pStyle w:val="LFTTabletext"/>
              <w:spacing w:after="120" w:line="264" w:lineRule="auto"/>
              <w:rPr>
                <w:sz w:val="20"/>
              </w:rPr>
            </w:pPr>
          </w:p>
        </w:tc>
      </w:tr>
      <w:tr w:rsidR="004A4AC6" w:rsidRPr="00CB4658" w14:paraId="53222878" w14:textId="77777777" w:rsidTr="00CB4658">
        <w:trPr>
          <w:trHeight w:val="144"/>
        </w:trPr>
        <w:tc>
          <w:tcPr>
            <w:tcW w:w="1368" w:type="dxa"/>
            <w:tcBorders>
              <w:top w:val="single" w:sz="4" w:space="0" w:color="auto"/>
              <w:left w:val="single" w:sz="4" w:space="0" w:color="auto"/>
              <w:bottom w:val="single" w:sz="4" w:space="0" w:color="auto"/>
              <w:right w:val="single" w:sz="4" w:space="0" w:color="auto"/>
            </w:tcBorders>
          </w:tcPr>
          <w:p w14:paraId="464BF28F" w14:textId="77777777" w:rsidR="004A4AC6" w:rsidRPr="00CB4658" w:rsidRDefault="004A4AC6" w:rsidP="00CB4658">
            <w:pPr>
              <w:pStyle w:val="LFTTabletext"/>
              <w:spacing w:after="120" w:line="264" w:lineRule="auto"/>
              <w:jc w:val="center"/>
              <w:rPr>
                <w:sz w:val="20"/>
              </w:rPr>
            </w:pPr>
            <w:r w:rsidRPr="00CB4658">
              <w:rPr>
                <w:sz w:val="20"/>
              </w:rPr>
              <w:lastRenderedPageBreak/>
              <w:t>Number of Soil Borings</w:t>
            </w:r>
          </w:p>
        </w:tc>
        <w:tc>
          <w:tcPr>
            <w:tcW w:w="4860" w:type="dxa"/>
            <w:tcBorders>
              <w:top w:val="single" w:sz="4" w:space="0" w:color="auto"/>
              <w:left w:val="single" w:sz="4" w:space="0" w:color="auto"/>
              <w:bottom w:val="single" w:sz="4" w:space="0" w:color="auto"/>
              <w:right w:val="single" w:sz="4" w:space="0" w:color="auto"/>
            </w:tcBorders>
          </w:tcPr>
          <w:p w14:paraId="6AA5420C" w14:textId="77777777" w:rsidR="004A4AC6" w:rsidRPr="00CB4658" w:rsidRDefault="004A4AC6" w:rsidP="00CB4658">
            <w:pPr>
              <w:pStyle w:val="LFTBody"/>
              <w:rPr>
                <w:rFonts w:asciiTheme="majorHAnsi" w:hAnsiTheme="majorHAnsi"/>
                <w:sz w:val="20"/>
              </w:rPr>
            </w:pPr>
            <w:r w:rsidRPr="00CB4658">
              <w:rPr>
                <w:rFonts w:asciiTheme="majorHAnsi" w:hAnsiTheme="majorHAnsi"/>
                <w:sz w:val="20"/>
              </w:rPr>
              <w:t>The number of recommended borings is described below.</w:t>
            </w:r>
          </w:p>
          <w:p w14:paraId="60E3A7FD"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Infiltration trenches, bioretention, and filters - a minimum of 2 per practice.</w:t>
            </w:r>
          </w:p>
          <w:p w14:paraId="18B088C1"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Ponds/wetlands - a minimum of 3 per practice, or 3 per acre, whichever is greater.</w:t>
            </w:r>
          </w:p>
          <w:p w14:paraId="477B008C"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sz w:val="20"/>
              </w:rPr>
            </w:pPr>
            <w:r w:rsidRPr="00CB4658">
              <w:rPr>
                <w:rFonts w:asciiTheme="majorHAnsi" w:hAnsiTheme="majorHAnsi"/>
                <w:bCs/>
                <w:sz w:val="20"/>
              </w:rPr>
              <w:t>Additional borings – as needed to define lateral extent of limiting horizons, or site specific conditions, where applicable.</w:t>
            </w:r>
          </w:p>
        </w:tc>
        <w:tc>
          <w:tcPr>
            <w:tcW w:w="5130" w:type="dxa"/>
            <w:tcBorders>
              <w:top w:val="single" w:sz="4" w:space="0" w:color="auto"/>
              <w:left w:val="single" w:sz="4" w:space="0" w:color="auto"/>
              <w:bottom w:val="single" w:sz="4" w:space="0" w:color="auto"/>
              <w:right w:val="single" w:sz="4" w:space="0" w:color="auto"/>
            </w:tcBorders>
          </w:tcPr>
          <w:p w14:paraId="54D0C9AF" w14:textId="77777777" w:rsidR="004A4AC6" w:rsidRPr="00CB4658" w:rsidRDefault="004A4AC6" w:rsidP="00CB4658">
            <w:pPr>
              <w:pStyle w:val="LFTBody"/>
              <w:rPr>
                <w:rFonts w:asciiTheme="majorHAnsi" w:hAnsiTheme="majorHAnsi"/>
                <w:sz w:val="20"/>
              </w:rPr>
            </w:pPr>
            <w:r w:rsidRPr="00CB4658">
              <w:rPr>
                <w:rFonts w:asciiTheme="majorHAnsi" w:hAnsiTheme="majorHAnsi"/>
                <w:sz w:val="20"/>
              </w:rPr>
              <w:t>The number of recommended borings is described below.</w:t>
            </w:r>
          </w:p>
          <w:p w14:paraId="68D61BB5"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Infiltration trenches, bioretention, and filters - a minimum of 2 per practice.</w:t>
            </w:r>
          </w:p>
          <w:p w14:paraId="78F1E67C"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Ponds/wetlands - a minimum of 3 per practice, or 3 per acre, whichever is greater.</w:t>
            </w:r>
          </w:p>
          <w:p w14:paraId="73242D49"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Additional borings – as needed to define lateral extent of limiting horizons, or site specific conditions, where applicable.</w:t>
            </w:r>
          </w:p>
        </w:tc>
        <w:tc>
          <w:tcPr>
            <w:tcW w:w="5130" w:type="dxa"/>
            <w:tcBorders>
              <w:top w:val="single" w:sz="4" w:space="0" w:color="auto"/>
              <w:left w:val="single" w:sz="4" w:space="0" w:color="auto"/>
              <w:bottom w:val="single" w:sz="4" w:space="0" w:color="auto"/>
              <w:right w:val="single" w:sz="4" w:space="0" w:color="auto"/>
            </w:tcBorders>
          </w:tcPr>
          <w:p w14:paraId="4DEA4EAB" w14:textId="77777777" w:rsidR="004A4AC6" w:rsidRPr="00CB4658" w:rsidRDefault="004A4AC6" w:rsidP="00CB4658">
            <w:pPr>
              <w:pStyle w:val="LFTBody"/>
              <w:rPr>
                <w:rFonts w:asciiTheme="majorHAnsi" w:hAnsiTheme="majorHAnsi"/>
                <w:sz w:val="20"/>
              </w:rPr>
            </w:pPr>
            <w:r w:rsidRPr="00CB4658">
              <w:rPr>
                <w:rFonts w:asciiTheme="majorHAnsi" w:hAnsiTheme="majorHAnsi"/>
                <w:sz w:val="20"/>
              </w:rPr>
              <w:t>The number of recommended borings is described below.</w:t>
            </w:r>
          </w:p>
          <w:p w14:paraId="30D8C76B"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Infiltration trenches, bioretention, and filters - a minimum of 2 per practice.</w:t>
            </w:r>
          </w:p>
          <w:p w14:paraId="076730C9"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Ponds/wetlands - a minimum of 3 per practice, or 3 per acre, whichever is greater.</w:t>
            </w:r>
          </w:p>
          <w:p w14:paraId="1CC74B7D"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Additional borings – as needed to define lateral extent of limiting horizons, or site specific conditions, where applicable.</w:t>
            </w:r>
          </w:p>
        </w:tc>
        <w:tc>
          <w:tcPr>
            <w:tcW w:w="5400" w:type="dxa"/>
            <w:tcBorders>
              <w:top w:val="single" w:sz="4" w:space="0" w:color="auto"/>
              <w:left w:val="single" w:sz="4" w:space="0" w:color="auto"/>
              <w:bottom w:val="single" w:sz="4" w:space="0" w:color="auto"/>
              <w:right w:val="single" w:sz="4" w:space="0" w:color="auto"/>
            </w:tcBorders>
          </w:tcPr>
          <w:p w14:paraId="24A7C44B" w14:textId="77777777" w:rsidR="004A4AC6" w:rsidRPr="00CB4658" w:rsidRDefault="004A4AC6" w:rsidP="00CB4658">
            <w:pPr>
              <w:pStyle w:val="LFTBody"/>
              <w:rPr>
                <w:rFonts w:asciiTheme="majorHAnsi" w:hAnsiTheme="majorHAnsi"/>
                <w:sz w:val="20"/>
              </w:rPr>
            </w:pPr>
            <w:r w:rsidRPr="00CB4658">
              <w:rPr>
                <w:rFonts w:asciiTheme="majorHAnsi" w:hAnsiTheme="majorHAnsi"/>
                <w:sz w:val="20"/>
              </w:rPr>
              <w:t>The number and depth of borings will depend entirely upon the results of the subsurface evaluation obtained from the observational, geophysical, and excavation studies, as well as other borings. There are no prescriptive guidelines to determine the number and depth of borings. These will have to be determined by the qualified staff conducting the BMP management evaluation and will be based upon the data needs of the installation. The borings must extend well below the bottom elevation of the designed BMP, however, to make sure that there are no karst features that will be encountered or impacted as a result of the installation.</w:t>
            </w:r>
          </w:p>
        </w:tc>
      </w:tr>
      <w:tr w:rsidR="004A4AC6" w:rsidRPr="00CB4658" w14:paraId="1229760A" w14:textId="77777777" w:rsidTr="00CB4658">
        <w:trPr>
          <w:trHeight w:val="144"/>
        </w:trPr>
        <w:tc>
          <w:tcPr>
            <w:tcW w:w="1368" w:type="dxa"/>
            <w:tcBorders>
              <w:top w:val="single" w:sz="4" w:space="0" w:color="auto"/>
              <w:left w:val="single" w:sz="4" w:space="0" w:color="auto"/>
              <w:bottom w:val="single" w:sz="4" w:space="0" w:color="auto"/>
              <w:right w:val="single" w:sz="4" w:space="0" w:color="auto"/>
            </w:tcBorders>
          </w:tcPr>
          <w:p w14:paraId="60775869" w14:textId="77777777" w:rsidR="004A4AC6" w:rsidRPr="00CB4658" w:rsidRDefault="004A4AC6" w:rsidP="00CB4658">
            <w:pPr>
              <w:pStyle w:val="LFTTabletext"/>
              <w:spacing w:after="120" w:line="264" w:lineRule="auto"/>
              <w:jc w:val="center"/>
              <w:rPr>
                <w:sz w:val="20"/>
              </w:rPr>
            </w:pPr>
            <w:r w:rsidRPr="00CB4658">
              <w:rPr>
                <w:sz w:val="20"/>
              </w:rPr>
              <w:t>Depth of Soil Borings</w:t>
            </w:r>
          </w:p>
        </w:tc>
        <w:tc>
          <w:tcPr>
            <w:tcW w:w="4860" w:type="dxa"/>
            <w:tcBorders>
              <w:top w:val="single" w:sz="4" w:space="0" w:color="auto"/>
              <w:left w:val="single" w:sz="4" w:space="0" w:color="auto"/>
              <w:bottom w:val="single" w:sz="4" w:space="0" w:color="auto"/>
              <w:right w:val="single" w:sz="4" w:space="0" w:color="auto"/>
            </w:tcBorders>
          </w:tcPr>
          <w:p w14:paraId="5D87A5A9" w14:textId="77777777" w:rsidR="004A4AC6" w:rsidRPr="00CB4658" w:rsidRDefault="004A4AC6" w:rsidP="00CB4658">
            <w:pPr>
              <w:pStyle w:val="LFTBody"/>
              <w:rPr>
                <w:rFonts w:asciiTheme="majorHAnsi" w:hAnsiTheme="majorHAnsi"/>
                <w:sz w:val="20"/>
              </w:rPr>
            </w:pPr>
            <w:r w:rsidRPr="00CB4658">
              <w:rPr>
                <w:rFonts w:asciiTheme="majorHAnsi" w:hAnsiTheme="majorHAnsi"/>
                <w:sz w:val="20"/>
              </w:rPr>
              <w:t>Borings should be extended to a minimum depth of 5 feet below the lowest proposed grade within the practice unless auger/backhoe refusal is encountered.</w:t>
            </w:r>
          </w:p>
        </w:tc>
        <w:tc>
          <w:tcPr>
            <w:tcW w:w="5130" w:type="dxa"/>
            <w:tcBorders>
              <w:top w:val="single" w:sz="4" w:space="0" w:color="auto"/>
              <w:left w:val="single" w:sz="4" w:space="0" w:color="auto"/>
              <w:bottom w:val="single" w:sz="4" w:space="0" w:color="auto"/>
              <w:right w:val="single" w:sz="4" w:space="0" w:color="auto"/>
            </w:tcBorders>
          </w:tcPr>
          <w:p w14:paraId="37EB255A" w14:textId="77777777" w:rsidR="004A4AC6" w:rsidRPr="00CB4658" w:rsidRDefault="004A4AC6" w:rsidP="00CB4658">
            <w:pPr>
              <w:pStyle w:val="LFTBody"/>
              <w:rPr>
                <w:rFonts w:asciiTheme="majorHAnsi" w:hAnsiTheme="majorHAnsi"/>
                <w:sz w:val="20"/>
              </w:rPr>
            </w:pPr>
            <w:r w:rsidRPr="00CB4658">
              <w:rPr>
                <w:rFonts w:asciiTheme="majorHAnsi" w:hAnsiTheme="majorHAnsi"/>
                <w:sz w:val="20"/>
              </w:rPr>
              <w:t>Borings should be extended to a minimum depth of 5 feet below the lowest proposed grade within the practice unless auger/backhoe refusal is encountered.</w:t>
            </w:r>
          </w:p>
        </w:tc>
        <w:tc>
          <w:tcPr>
            <w:tcW w:w="5130" w:type="dxa"/>
            <w:tcBorders>
              <w:top w:val="single" w:sz="4" w:space="0" w:color="auto"/>
              <w:left w:val="single" w:sz="4" w:space="0" w:color="auto"/>
              <w:bottom w:val="single" w:sz="4" w:space="0" w:color="auto"/>
              <w:right w:val="single" w:sz="4" w:space="0" w:color="auto"/>
            </w:tcBorders>
          </w:tcPr>
          <w:p w14:paraId="5304C92F" w14:textId="77777777" w:rsidR="004A4AC6" w:rsidRPr="00CB4658" w:rsidRDefault="004A4AC6" w:rsidP="00CB4658">
            <w:pPr>
              <w:pStyle w:val="LFTTabletext"/>
              <w:spacing w:after="120" w:line="264" w:lineRule="auto"/>
              <w:rPr>
                <w:sz w:val="20"/>
              </w:rPr>
            </w:pPr>
            <w:r w:rsidRPr="00CB4658">
              <w:rPr>
                <w:sz w:val="20"/>
              </w:rPr>
              <w:t>Borings should be extended to a minimum depth of 5 feet below the lowest proposed grade within the practice unless auger/backhoe refusal is encountered.</w:t>
            </w:r>
          </w:p>
        </w:tc>
        <w:tc>
          <w:tcPr>
            <w:tcW w:w="5400" w:type="dxa"/>
            <w:tcBorders>
              <w:top w:val="single" w:sz="4" w:space="0" w:color="auto"/>
              <w:left w:val="single" w:sz="4" w:space="0" w:color="auto"/>
              <w:bottom w:val="single" w:sz="4" w:space="0" w:color="auto"/>
              <w:right w:val="single" w:sz="4" w:space="0" w:color="auto"/>
            </w:tcBorders>
          </w:tcPr>
          <w:p w14:paraId="79A6E198" w14:textId="77777777" w:rsidR="004A4AC6" w:rsidRPr="00CB4658" w:rsidRDefault="004A4AC6" w:rsidP="00CB4658">
            <w:pPr>
              <w:pStyle w:val="LFTBody"/>
              <w:rPr>
                <w:rFonts w:asciiTheme="majorHAnsi" w:hAnsiTheme="majorHAnsi"/>
                <w:sz w:val="20"/>
              </w:rPr>
            </w:pPr>
            <w:r w:rsidRPr="00CB4658">
              <w:rPr>
                <w:rFonts w:asciiTheme="majorHAnsi" w:hAnsiTheme="majorHAnsi"/>
                <w:sz w:val="20"/>
              </w:rPr>
              <w:t xml:space="preserve">The number and depth of borings will depend entirely upon the results of the subsurface evaluation obtained from the observational, geophysical, and excavation studies, as well as other borings. There are no prescriptive guidelines to determine the number and depth of borings. These will have to be determined by the qualified staff conducting the BMP management evaluation and will be based upon the data needs of the installation. The borings must extend well below the bottom elevation of the designed BMP, however, to make sure that there are no karst features that will be encountered or impacted as a result of the installation. At least 1 subsurface cross section should be provided for the BMP installation, showing confining layers, depth to bedrock, and water table (if encountered). It should extend through a central portion of the </w:t>
            </w:r>
            <w:r w:rsidRPr="00CB4658">
              <w:rPr>
                <w:rFonts w:asciiTheme="majorHAnsi" w:hAnsiTheme="majorHAnsi"/>
                <w:sz w:val="20"/>
              </w:rPr>
              <w:lastRenderedPageBreak/>
              <w:t>proposed installation, using the actual geophysical and boring data. A sketch map or formal construction plan indicating the location and dimension of the proposed practice and line of cross section should be included for reference, or as a base map for presentation of subsurface data.</w:t>
            </w:r>
          </w:p>
        </w:tc>
      </w:tr>
      <w:tr w:rsidR="004A4AC6" w:rsidRPr="00CB4658" w14:paraId="142C25AD" w14:textId="77777777" w:rsidTr="00CB4658">
        <w:trPr>
          <w:trHeight w:val="144"/>
        </w:trPr>
        <w:tc>
          <w:tcPr>
            <w:tcW w:w="1368" w:type="dxa"/>
            <w:tcBorders>
              <w:top w:val="single" w:sz="4" w:space="0" w:color="auto"/>
              <w:left w:val="single" w:sz="4" w:space="0" w:color="auto"/>
              <w:bottom w:val="single" w:sz="4" w:space="0" w:color="auto"/>
              <w:right w:val="single" w:sz="4" w:space="0" w:color="auto"/>
            </w:tcBorders>
          </w:tcPr>
          <w:p w14:paraId="5BA20DCF" w14:textId="77777777" w:rsidR="004A4AC6" w:rsidRPr="00CB4658" w:rsidRDefault="004A4AC6" w:rsidP="00CB4658">
            <w:pPr>
              <w:pStyle w:val="LFTTabletext"/>
              <w:spacing w:after="120" w:line="264" w:lineRule="auto"/>
              <w:jc w:val="center"/>
              <w:rPr>
                <w:sz w:val="20"/>
              </w:rPr>
            </w:pPr>
            <w:r w:rsidRPr="00CB4658">
              <w:rPr>
                <w:sz w:val="20"/>
              </w:rPr>
              <w:lastRenderedPageBreak/>
              <w:t>Identification of Material</w:t>
            </w:r>
          </w:p>
        </w:tc>
        <w:tc>
          <w:tcPr>
            <w:tcW w:w="4860" w:type="dxa"/>
            <w:tcBorders>
              <w:top w:val="single" w:sz="4" w:space="0" w:color="auto"/>
              <w:left w:val="single" w:sz="4" w:space="0" w:color="auto"/>
              <w:bottom w:val="single" w:sz="4" w:space="0" w:color="auto"/>
              <w:right w:val="single" w:sz="4" w:space="0" w:color="auto"/>
            </w:tcBorders>
          </w:tcPr>
          <w:p w14:paraId="72F8B688" w14:textId="77777777" w:rsidR="004A4AC6" w:rsidRPr="00CB4658" w:rsidRDefault="004A4AC6" w:rsidP="00CB4658">
            <w:pPr>
              <w:pStyle w:val="LFTBody"/>
              <w:rPr>
                <w:rFonts w:asciiTheme="majorHAnsi" w:hAnsiTheme="majorHAnsi"/>
                <w:sz w:val="20"/>
              </w:rPr>
            </w:pPr>
            <w:r w:rsidRPr="00CB4658">
              <w:rPr>
                <w:rFonts w:asciiTheme="majorHAnsi" w:hAnsiTheme="majorHAnsi"/>
                <w:sz w:val="20"/>
              </w:rPr>
              <w:t>All material penetrated by the boring should be identified, as follows:</w:t>
            </w:r>
          </w:p>
          <w:p w14:paraId="4A7F74AB"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Provide descriptions, logging, and sampling for the entire depth of the boring.</w:t>
            </w:r>
          </w:p>
          <w:p w14:paraId="16ABA84E"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Note any stains, odors, or other indications of environmental degradation.</w:t>
            </w:r>
          </w:p>
          <w:p w14:paraId="52646631"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Perform a laboratory analysis of a minimum of 2 soil samples, representative of the material penetrated including potential limiting horizons, with the results compared to the field descriptions.</w:t>
            </w:r>
          </w:p>
          <w:p w14:paraId="70B145EE"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Identify soil characteristic including, at a minimum: color; mineral composition; grain size, shape, and sorting; and saturation.</w:t>
            </w:r>
          </w:p>
          <w:p w14:paraId="5BD4BD63"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Log any indications of water saturation to include both perched and ground water table levels, and descriptions of soils that are mottled or gleyed (sticky clay soils typically found in waterlogged soils).</w:t>
            </w:r>
          </w:p>
          <w:p w14:paraId="0B72579C"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Measure water levels in all borings at the time of completion and again 24 hours after completion. The boring should remain fully open to total depth of these measurements.</w:t>
            </w:r>
          </w:p>
          <w:p w14:paraId="3C97AA94"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sz w:val="20"/>
              </w:rPr>
            </w:pPr>
            <w:r w:rsidRPr="00CB4658">
              <w:rPr>
                <w:rFonts w:asciiTheme="majorHAnsi" w:hAnsiTheme="majorHAnsi"/>
                <w:bCs/>
                <w:sz w:val="20"/>
              </w:rPr>
              <w:t>Estimate soil engineering characteristics, including “N” or estimated unconfined compressive strength, when conducting a standard penetration test (SPT).</w:t>
            </w:r>
          </w:p>
        </w:tc>
        <w:tc>
          <w:tcPr>
            <w:tcW w:w="5130" w:type="dxa"/>
            <w:tcBorders>
              <w:top w:val="single" w:sz="4" w:space="0" w:color="auto"/>
              <w:left w:val="single" w:sz="4" w:space="0" w:color="auto"/>
              <w:bottom w:val="single" w:sz="4" w:space="0" w:color="auto"/>
              <w:right w:val="single" w:sz="4" w:space="0" w:color="auto"/>
            </w:tcBorders>
          </w:tcPr>
          <w:p w14:paraId="2177BE5E" w14:textId="77777777" w:rsidR="004A4AC6" w:rsidRPr="00CB4658" w:rsidRDefault="004A4AC6" w:rsidP="00CB4658">
            <w:pPr>
              <w:pStyle w:val="LFTBody"/>
              <w:rPr>
                <w:rFonts w:asciiTheme="majorHAnsi" w:hAnsiTheme="majorHAnsi"/>
                <w:sz w:val="20"/>
              </w:rPr>
            </w:pPr>
            <w:r w:rsidRPr="00CB4658">
              <w:rPr>
                <w:rFonts w:asciiTheme="majorHAnsi" w:hAnsiTheme="majorHAnsi"/>
                <w:sz w:val="20"/>
              </w:rPr>
              <w:t>All material penetrated by the boring should be identified, as follows:</w:t>
            </w:r>
          </w:p>
          <w:p w14:paraId="09CEE462"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Provide descriptions, logging, and sampling for the entire depth of the boring.</w:t>
            </w:r>
          </w:p>
          <w:p w14:paraId="611C3AF9"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Note any stains, odors, or other indications of environmental degradation.</w:t>
            </w:r>
          </w:p>
          <w:p w14:paraId="130F4537"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Perform a laboratory analysis of a minimum of 2 soil samples, representative of the material penetrated including potential limiting horizons, with the results compared to the field descriptions.</w:t>
            </w:r>
          </w:p>
          <w:p w14:paraId="4BDF11E4"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Identify soil characteristic including, at a minimum: color; mineral composition; grain size, shape, and sorting; and saturation.</w:t>
            </w:r>
          </w:p>
          <w:p w14:paraId="47BE3989"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Log any indications of water saturation to include both perched and ground water table levels, and descriptions of soils that are mottled or gleyed (sticky clay soils typically found in waterlogged soils).</w:t>
            </w:r>
          </w:p>
          <w:p w14:paraId="67B21136"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Measure water levels in all borings at the time of completion and again 24 hours after completion. The boring should remain fully open to total depth of these measurements.</w:t>
            </w:r>
          </w:p>
          <w:p w14:paraId="354B39A8"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sz w:val="20"/>
              </w:rPr>
            </w:pPr>
            <w:r w:rsidRPr="00CB4658">
              <w:rPr>
                <w:rFonts w:asciiTheme="majorHAnsi" w:hAnsiTheme="majorHAnsi"/>
                <w:bCs/>
                <w:sz w:val="20"/>
              </w:rPr>
              <w:t>Estimate soil engineering characteristics, including “N” or estimated unconfined compressive strength, when conducting a standard penetration test (SPT).</w:t>
            </w:r>
          </w:p>
        </w:tc>
        <w:tc>
          <w:tcPr>
            <w:tcW w:w="5130" w:type="dxa"/>
            <w:tcBorders>
              <w:top w:val="single" w:sz="4" w:space="0" w:color="auto"/>
              <w:left w:val="single" w:sz="4" w:space="0" w:color="auto"/>
              <w:bottom w:val="single" w:sz="4" w:space="0" w:color="auto"/>
              <w:right w:val="single" w:sz="4" w:space="0" w:color="auto"/>
            </w:tcBorders>
          </w:tcPr>
          <w:p w14:paraId="21EFB13C" w14:textId="77777777" w:rsidR="004A4AC6" w:rsidRPr="00CB4658" w:rsidRDefault="004A4AC6" w:rsidP="00CB4658">
            <w:pPr>
              <w:pStyle w:val="LFTBody"/>
              <w:rPr>
                <w:rFonts w:asciiTheme="majorHAnsi" w:hAnsiTheme="majorHAnsi"/>
                <w:sz w:val="20"/>
              </w:rPr>
            </w:pPr>
            <w:r w:rsidRPr="00CB4658">
              <w:rPr>
                <w:rFonts w:asciiTheme="majorHAnsi" w:hAnsiTheme="majorHAnsi"/>
                <w:sz w:val="20"/>
              </w:rPr>
              <w:t>All material penetrated by the boring should be identified, as follows:</w:t>
            </w:r>
          </w:p>
          <w:p w14:paraId="036EFE0D"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Provide descriptions, logging, and sampling for the entire depth of the boring.</w:t>
            </w:r>
          </w:p>
          <w:p w14:paraId="5414F57D"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Note any stains, odors, or other indications of environmental degradation.</w:t>
            </w:r>
          </w:p>
          <w:p w14:paraId="431AA22A"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Perform a laboratory analysis of a minimum of 2 soil samples, representative of the material penetrated including potential limiting horizons, with the results compared to the field descriptions.</w:t>
            </w:r>
          </w:p>
          <w:p w14:paraId="6FCBF25B"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Identify soil characteristic including, at a minimum: color; mineral composition; grain size, shape, and sorting; and saturation.</w:t>
            </w:r>
          </w:p>
          <w:p w14:paraId="7E1D89BC"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Log any indications of water saturation to include both perched and ground water table levels, and descriptions of soils that are mottled or gleyed (sticky clay soils typically found in waterlogged soils).</w:t>
            </w:r>
          </w:p>
          <w:p w14:paraId="4E39FB17"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Measure water levels in all borings at the time of completion and again 24 hours after completion. The boring should remain fully open to total depth of these measurements.</w:t>
            </w:r>
          </w:p>
          <w:p w14:paraId="21627CB2" w14:textId="77777777" w:rsidR="004A4AC6" w:rsidRPr="00CB4658" w:rsidRDefault="004A4AC6" w:rsidP="00CB4658">
            <w:pPr>
              <w:pStyle w:val="LFTTabletext"/>
              <w:spacing w:after="120" w:line="264" w:lineRule="auto"/>
              <w:rPr>
                <w:sz w:val="20"/>
              </w:rPr>
            </w:pPr>
          </w:p>
        </w:tc>
        <w:tc>
          <w:tcPr>
            <w:tcW w:w="5400" w:type="dxa"/>
            <w:tcBorders>
              <w:top w:val="single" w:sz="4" w:space="0" w:color="auto"/>
              <w:left w:val="single" w:sz="4" w:space="0" w:color="auto"/>
              <w:bottom w:val="single" w:sz="4" w:space="0" w:color="auto"/>
              <w:right w:val="single" w:sz="4" w:space="0" w:color="auto"/>
            </w:tcBorders>
          </w:tcPr>
          <w:p w14:paraId="5A567C40" w14:textId="77777777" w:rsidR="004A4AC6" w:rsidRPr="00CB4658" w:rsidRDefault="004A4AC6" w:rsidP="00CB4658">
            <w:pPr>
              <w:pStyle w:val="LFTBody"/>
              <w:rPr>
                <w:rFonts w:asciiTheme="majorHAnsi" w:hAnsiTheme="majorHAnsi"/>
                <w:sz w:val="20"/>
              </w:rPr>
            </w:pPr>
            <w:r w:rsidRPr="00CB4658">
              <w:rPr>
                <w:rFonts w:asciiTheme="majorHAnsi" w:hAnsiTheme="majorHAnsi"/>
                <w:sz w:val="20"/>
              </w:rPr>
              <w:t>All material identified by the excavation and geophysical studies and penetrated by the boring should be identified, as follows:</w:t>
            </w:r>
          </w:p>
          <w:p w14:paraId="42E976F2"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Provide descriptions, logging, and sampling for the entire depth of the boring.</w:t>
            </w:r>
          </w:p>
          <w:p w14:paraId="1184F7A3"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Note any stains, odors, or other indications of environmental degradation.</w:t>
            </w:r>
          </w:p>
          <w:p w14:paraId="351CD3E6"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Perform laboratory analysis on a of 2 soil samples, representative of the material penetrated including potential limiting horizons, with the results compared to the field descriptions.</w:t>
            </w:r>
          </w:p>
          <w:p w14:paraId="2DF9F46D"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Identify soil characteristics including, as a minimum: color; mineral composition; grain size, shape, sorting and degree of saturation.</w:t>
            </w:r>
          </w:p>
          <w:p w14:paraId="6922B337"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Log any indications of water saturation to include both perched and ground water table levels, and descriptions of soils that are mottled or gleyed should be provided. Be aware that ground water levels in karst can change dramatically in short periods of time and will not necessarily leave mottled or gleyed evidence.</w:t>
            </w:r>
          </w:p>
          <w:p w14:paraId="734238F7"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Record water levels in all borings over a time-period reflective of anticipated water level fluctuation. That is, water levels in karst geology can vary dramatically and rapidly. The boring should remain fully open to a total depth reflective of these variations and over a time that will accurately show the variation. Be advised that to get a complete picture, this could be a long-term period. Measurements could of course be collected during a period of operation of a BMP, which could be adjusted based on the findings of the data collection.</w:t>
            </w:r>
          </w:p>
          <w:p w14:paraId="4E9062D3" w14:textId="77777777" w:rsidR="004A4AC6" w:rsidRPr="00CB4658" w:rsidRDefault="004A4AC6" w:rsidP="004A4AC6">
            <w:pPr>
              <w:pStyle w:val="LFTMemoTEXT"/>
              <w:numPr>
                <w:ilvl w:val="0"/>
                <w:numId w:val="40"/>
              </w:numPr>
              <w:spacing w:after="0" w:line="240" w:lineRule="auto"/>
              <w:ind w:left="252" w:hanging="180"/>
              <w:rPr>
                <w:rFonts w:asciiTheme="majorHAnsi" w:hAnsiTheme="majorHAnsi"/>
                <w:bCs/>
                <w:sz w:val="20"/>
              </w:rPr>
            </w:pPr>
            <w:r w:rsidRPr="00CB4658">
              <w:rPr>
                <w:rFonts w:asciiTheme="majorHAnsi" w:hAnsiTheme="majorHAnsi"/>
                <w:bCs/>
                <w:sz w:val="20"/>
              </w:rPr>
              <w:t>Report an estimation of soil engineering characteristics including “N” or estimated unconfined compressive strength, when conducting a SPT</w:t>
            </w:r>
          </w:p>
        </w:tc>
      </w:tr>
      <w:tr w:rsidR="004A4AC6" w:rsidRPr="00CB4658" w14:paraId="2276C4D2" w14:textId="77777777" w:rsidTr="00CB4658">
        <w:trPr>
          <w:trHeight w:val="2708"/>
        </w:trPr>
        <w:tc>
          <w:tcPr>
            <w:tcW w:w="1368" w:type="dxa"/>
            <w:tcBorders>
              <w:top w:val="single" w:sz="4" w:space="0" w:color="auto"/>
              <w:left w:val="single" w:sz="4" w:space="0" w:color="auto"/>
              <w:bottom w:val="single" w:sz="4" w:space="0" w:color="auto"/>
              <w:right w:val="single" w:sz="4" w:space="0" w:color="auto"/>
            </w:tcBorders>
          </w:tcPr>
          <w:p w14:paraId="7CAE1C56" w14:textId="77777777" w:rsidR="004A4AC6" w:rsidRPr="00CB4658" w:rsidRDefault="004A4AC6" w:rsidP="00CB4658">
            <w:pPr>
              <w:pStyle w:val="LFTTabletext"/>
              <w:spacing w:after="120" w:line="264" w:lineRule="auto"/>
              <w:jc w:val="center"/>
              <w:rPr>
                <w:sz w:val="20"/>
              </w:rPr>
            </w:pPr>
            <w:r w:rsidRPr="00CB4658">
              <w:rPr>
                <w:sz w:val="20"/>
              </w:rPr>
              <w:t>Evaluation of Findings</w:t>
            </w:r>
          </w:p>
        </w:tc>
        <w:tc>
          <w:tcPr>
            <w:tcW w:w="4860" w:type="dxa"/>
            <w:tcBorders>
              <w:top w:val="single" w:sz="4" w:space="0" w:color="auto"/>
              <w:left w:val="single" w:sz="4" w:space="0" w:color="auto"/>
              <w:bottom w:val="single" w:sz="4" w:space="0" w:color="auto"/>
              <w:right w:val="single" w:sz="4" w:space="0" w:color="auto"/>
            </w:tcBorders>
          </w:tcPr>
          <w:p w14:paraId="3E81FBD0" w14:textId="77777777" w:rsidR="004A4AC6" w:rsidRPr="00CB4658" w:rsidRDefault="004A4AC6" w:rsidP="00CB4658">
            <w:pPr>
              <w:pStyle w:val="LFTBody"/>
              <w:rPr>
                <w:rFonts w:asciiTheme="majorHAnsi" w:hAnsiTheme="majorHAnsi"/>
                <w:sz w:val="20"/>
              </w:rPr>
            </w:pPr>
            <w:r w:rsidRPr="00CB4658">
              <w:rPr>
                <w:rFonts w:asciiTheme="majorHAnsi" w:hAnsiTheme="majorHAnsi"/>
                <w:sz w:val="20"/>
              </w:rPr>
              <w:t>At least 1 figure showing the subsurface soil profile cross section through the proposed practice should be provided, showing confining layers, depth to bedrock, and water table (if encountered). It should extend through a central portion of the proposed practice, using the actual or projected boring data. A sketch map or formal construction plan indicating the location and dimension of the proposed practice and line of cross section should be included for reference, or as a base map for presentation of subsurface data.</w:t>
            </w:r>
          </w:p>
        </w:tc>
        <w:tc>
          <w:tcPr>
            <w:tcW w:w="5130" w:type="dxa"/>
            <w:tcBorders>
              <w:top w:val="single" w:sz="4" w:space="0" w:color="auto"/>
              <w:left w:val="single" w:sz="4" w:space="0" w:color="auto"/>
              <w:bottom w:val="single" w:sz="4" w:space="0" w:color="auto"/>
              <w:right w:val="single" w:sz="4" w:space="0" w:color="auto"/>
            </w:tcBorders>
          </w:tcPr>
          <w:p w14:paraId="1BA63C0C" w14:textId="77777777" w:rsidR="004A4AC6" w:rsidRPr="00CB4658" w:rsidRDefault="004A4AC6" w:rsidP="00CB4658">
            <w:pPr>
              <w:pStyle w:val="LFTBody"/>
              <w:rPr>
                <w:rFonts w:asciiTheme="majorHAnsi" w:hAnsiTheme="majorHAnsi"/>
                <w:sz w:val="20"/>
              </w:rPr>
            </w:pPr>
            <w:r w:rsidRPr="00CB4658">
              <w:rPr>
                <w:rFonts w:asciiTheme="majorHAnsi" w:hAnsiTheme="majorHAnsi"/>
                <w:sz w:val="20"/>
              </w:rPr>
              <w:t>At least 1 figure showing the subsurface soil profile cross section through the proposed practice should be provided, showing confining layers, depth to bedrock, and water table (if encountered). It should extend through a central portion of the proposed practice, using the actual or projected boring data. A sketch map or formal construction plan indicating the location and dimension of the proposed practice and line of cross section should be included for reference, or as a base map for presentation of subsurface data.</w:t>
            </w:r>
          </w:p>
        </w:tc>
        <w:tc>
          <w:tcPr>
            <w:tcW w:w="5130" w:type="dxa"/>
            <w:tcBorders>
              <w:top w:val="single" w:sz="4" w:space="0" w:color="auto"/>
              <w:left w:val="single" w:sz="4" w:space="0" w:color="auto"/>
              <w:bottom w:val="single" w:sz="4" w:space="0" w:color="auto"/>
              <w:right w:val="single" w:sz="4" w:space="0" w:color="auto"/>
            </w:tcBorders>
          </w:tcPr>
          <w:p w14:paraId="535A57E6" w14:textId="77777777" w:rsidR="004A4AC6" w:rsidRPr="00CB4658" w:rsidRDefault="004A4AC6" w:rsidP="00CB4658">
            <w:pPr>
              <w:pStyle w:val="LFTBullet1"/>
              <w:numPr>
                <w:ilvl w:val="0"/>
                <w:numId w:val="0"/>
              </w:numPr>
              <w:rPr>
                <w:rFonts w:asciiTheme="majorHAnsi" w:hAnsiTheme="majorHAnsi"/>
                <w:color w:val="0081C6" w:themeColor="background2"/>
                <w:sz w:val="20"/>
              </w:rPr>
            </w:pPr>
            <w:r w:rsidRPr="00CB4658">
              <w:rPr>
                <w:rFonts w:asciiTheme="majorHAnsi" w:hAnsiTheme="majorHAnsi"/>
                <w:color w:val="0081C6" w:themeColor="background2"/>
                <w:sz w:val="20"/>
              </w:rPr>
              <w:t>N</w:t>
            </w:r>
            <w:r w:rsidRPr="00CB4658">
              <w:rPr>
                <w:rFonts w:asciiTheme="majorHAnsi" w:hAnsiTheme="majorHAnsi"/>
                <w:color w:val="0081C6" w:themeColor="background2"/>
                <w:sz w:val="20"/>
              </w:rPr>
              <w:br/>
              <w:t>A</w:t>
            </w:r>
          </w:p>
        </w:tc>
        <w:tc>
          <w:tcPr>
            <w:tcW w:w="5400" w:type="dxa"/>
            <w:tcBorders>
              <w:top w:val="single" w:sz="4" w:space="0" w:color="auto"/>
              <w:left w:val="single" w:sz="4" w:space="0" w:color="auto"/>
              <w:bottom w:val="single" w:sz="4" w:space="0" w:color="auto"/>
              <w:right w:val="single" w:sz="4" w:space="0" w:color="auto"/>
            </w:tcBorders>
          </w:tcPr>
          <w:p w14:paraId="4BEAED98" w14:textId="77777777" w:rsidR="004A4AC6" w:rsidRPr="00CB4658" w:rsidRDefault="004A4AC6" w:rsidP="00CB4658">
            <w:pPr>
              <w:pStyle w:val="LFTTabletext"/>
              <w:spacing w:after="120" w:line="264" w:lineRule="auto"/>
              <w:rPr>
                <w:sz w:val="20"/>
              </w:rPr>
            </w:pPr>
            <w:r w:rsidRPr="00CB4658">
              <w:rPr>
                <w:sz w:val="20"/>
              </w:rPr>
              <w:t>At least 1 figure showing the subsurface soil profile cross section through the proposed practice should be provided, showing confining layers, depth to bedrock, and water table (if encountered). It should extend through a central portion of the proposed practice, using the actual or projected boring data. A sketch map or formal construction plan indicating the location and dimension of the proposed practice and line of cross section should be included for reference, or as a base map for presentation of subsurface data.</w:t>
            </w:r>
          </w:p>
          <w:p w14:paraId="0EA9AE4C" w14:textId="77777777" w:rsidR="004A4AC6" w:rsidRPr="00CB4658" w:rsidRDefault="004A4AC6" w:rsidP="00CB4658">
            <w:pPr>
              <w:pStyle w:val="LFTTabletext"/>
              <w:spacing w:after="120" w:line="264" w:lineRule="auto"/>
              <w:rPr>
                <w:sz w:val="20"/>
              </w:rPr>
            </w:pPr>
          </w:p>
          <w:p w14:paraId="1E90576D" w14:textId="77777777" w:rsidR="004A4AC6" w:rsidRPr="00CB4658" w:rsidRDefault="004A4AC6" w:rsidP="00CB4658">
            <w:pPr>
              <w:pStyle w:val="LFTTabletext"/>
              <w:spacing w:after="120" w:line="264" w:lineRule="auto"/>
              <w:rPr>
                <w:sz w:val="20"/>
              </w:rPr>
            </w:pPr>
          </w:p>
        </w:tc>
      </w:tr>
      <w:tr w:rsidR="004A4AC6" w:rsidRPr="00CB4658" w14:paraId="7CAE4ACB" w14:textId="77777777" w:rsidTr="00CB4658">
        <w:trPr>
          <w:trHeight w:val="144"/>
        </w:trPr>
        <w:tc>
          <w:tcPr>
            <w:tcW w:w="1368" w:type="dxa"/>
            <w:tcBorders>
              <w:top w:val="single" w:sz="4" w:space="0" w:color="auto"/>
              <w:left w:val="single" w:sz="4" w:space="0" w:color="auto"/>
              <w:bottom w:val="single" w:sz="4" w:space="0" w:color="auto"/>
              <w:right w:val="single" w:sz="4" w:space="0" w:color="auto"/>
            </w:tcBorders>
          </w:tcPr>
          <w:p w14:paraId="4169660F" w14:textId="77777777" w:rsidR="004A4AC6" w:rsidRPr="00CB4658" w:rsidRDefault="004A4AC6" w:rsidP="00CB4658">
            <w:pPr>
              <w:pStyle w:val="LFTTabletext"/>
              <w:spacing w:after="120" w:line="264" w:lineRule="auto"/>
              <w:rPr>
                <w:sz w:val="20"/>
              </w:rPr>
            </w:pPr>
            <w:r w:rsidRPr="00CB4658">
              <w:rPr>
                <w:sz w:val="20"/>
              </w:rPr>
              <w:lastRenderedPageBreak/>
              <w:t>Infiltration Rate Testing</w:t>
            </w:r>
          </w:p>
        </w:tc>
        <w:tc>
          <w:tcPr>
            <w:tcW w:w="4860" w:type="dxa"/>
            <w:tcBorders>
              <w:top w:val="single" w:sz="4" w:space="0" w:color="auto"/>
              <w:left w:val="single" w:sz="4" w:space="0" w:color="auto"/>
              <w:bottom w:val="single" w:sz="4" w:space="0" w:color="auto"/>
              <w:right w:val="single" w:sz="4" w:space="0" w:color="auto"/>
            </w:tcBorders>
          </w:tcPr>
          <w:p w14:paraId="037D2904" w14:textId="77777777" w:rsidR="004A4AC6" w:rsidRPr="00CB4658" w:rsidRDefault="004A4AC6" w:rsidP="00CB4658">
            <w:pPr>
              <w:pStyle w:val="LFTTabletext"/>
              <w:spacing w:after="120" w:line="264" w:lineRule="auto"/>
              <w:rPr>
                <w:sz w:val="20"/>
              </w:rPr>
            </w:pPr>
          </w:p>
        </w:tc>
        <w:tc>
          <w:tcPr>
            <w:tcW w:w="5130" w:type="dxa"/>
            <w:tcBorders>
              <w:top w:val="single" w:sz="4" w:space="0" w:color="auto"/>
              <w:left w:val="single" w:sz="4" w:space="0" w:color="auto"/>
              <w:bottom w:val="single" w:sz="4" w:space="0" w:color="auto"/>
              <w:right w:val="single" w:sz="4" w:space="0" w:color="auto"/>
            </w:tcBorders>
          </w:tcPr>
          <w:p w14:paraId="739B3094" w14:textId="77777777" w:rsidR="004A4AC6" w:rsidRPr="00CB4658" w:rsidRDefault="004A4AC6" w:rsidP="00CB4658">
            <w:pPr>
              <w:pStyle w:val="LFTTabletext"/>
              <w:spacing w:after="120" w:line="264" w:lineRule="auto"/>
              <w:rPr>
                <w:sz w:val="20"/>
              </w:rPr>
            </w:pPr>
          </w:p>
        </w:tc>
        <w:tc>
          <w:tcPr>
            <w:tcW w:w="5130" w:type="dxa"/>
            <w:tcBorders>
              <w:top w:val="single" w:sz="4" w:space="0" w:color="auto"/>
              <w:left w:val="single" w:sz="4" w:space="0" w:color="auto"/>
              <w:bottom w:val="single" w:sz="4" w:space="0" w:color="auto"/>
              <w:right w:val="single" w:sz="4" w:space="0" w:color="auto"/>
            </w:tcBorders>
          </w:tcPr>
          <w:p w14:paraId="23A38B76" w14:textId="77777777" w:rsidR="004A4AC6" w:rsidRPr="00CB4658" w:rsidRDefault="004A4AC6" w:rsidP="00CB4658">
            <w:pPr>
              <w:pStyle w:val="LFTBody"/>
              <w:rPr>
                <w:rFonts w:asciiTheme="majorHAnsi" w:hAnsiTheme="majorHAnsi"/>
                <w:sz w:val="20"/>
              </w:rPr>
            </w:pPr>
            <w:r w:rsidRPr="00CB4658">
              <w:rPr>
                <w:rFonts w:asciiTheme="majorHAnsi" w:hAnsiTheme="majorHAnsi"/>
                <w:sz w:val="20"/>
              </w:rPr>
              <w:t xml:space="preserve">Soil permeability should be determined in the field using the following procedure (MDE, 2000), or an accepted alternative method. </w:t>
            </w:r>
          </w:p>
          <w:p w14:paraId="542A04B5" w14:textId="77777777" w:rsidR="004A4AC6" w:rsidRPr="00CB4658" w:rsidRDefault="004A4AC6" w:rsidP="00CB4658">
            <w:pPr>
              <w:pStyle w:val="LFTBullet1"/>
              <w:ind w:left="252" w:hanging="180"/>
              <w:rPr>
                <w:rFonts w:asciiTheme="majorHAnsi" w:hAnsiTheme="majorHAnsi"/>
                <w:sz w:val="20"/>
              </w:rPr>
            </w:pPr>
            <w:r w:rsidRPr="00CB4658">
              <w:rPr>
                <w:rFonts w:asciiTheme="majorHAnsi" w:hAnsiTheme="majorHAnsi"/>
                <w:sz w:val="20"/>
              </w:rPr>
              <w:t>Install casing (solid 6-inch diameter) to 36 inches below proposed BMP bottom.</w:t>
            </w:r>
          </w:p>
          <w:p w14:paraId="6B038199" w14:textId="77777777" w:rsidR="004A4AC6" w:rsidRPr="00CB4658" w:rsidRDefault="004A4AC6" w:rsidP="00CB4658">
            <w:pPr>
              <w:pStyle w:val="LFTBullet1"/>
              <w:ind w:left="252" w:hanging="180"/>
              <w:rPr>
                <w:rFonts w:asciiTheme="majorHAnsi" w:hAnsiTheme="majorHAnsi"/>
                <w:sz w:val="20"/>
              </w:rPr>
            </w:pPr>
            <w:r w:rsidRPr="00CB4658">
              <w:rPr>
                <w:rFonts w:asciiTheme="majorHAnsi" w:hAnsiTheme="majorHAnsi"/>
                <w:sz w:val="20"/>
              </w:rPr>
              <w:t>Remove any smeared soiled surfaces and provide a natural soil interface into which water may percolate. Remove all loose material from the casing. Upon the tester’s discretion, a 2 inch layer of coarse sand or fine gravel may be placed to protect the bottom from scouring. Fill casing with clean water to a depth of 36 inches and allow to pre-soak for up to 24 hours.</w:t>
            </w:r>
          </w:p>
          <w:p w14:paraId="008FAF5D" w14:textId="77777777" w:rsidR="004A4AC6" w:rsidRPr="00CB4658" w:rsidRDefault="004A4AC6" w:rsidP="00CB4658">
            <w:pPr>
              <w:pStyle w:val="LFTBullet1"/>
              <w:ind w:left="252" w:hanging="180"/>
              <w:rPr>
                <w:rFonts w:asciiTheme="majorHAnsi" w:hAnsiTheme="majorHAnsi"/>
                <w:sz w:val="20"/>
              </w:rPr>
            </w:pPr>
            <w:r w:rsidRPr="00CB4658">
              <w:rPr>
                <w:rFonts w:asciiTheme="majorHAnsi" w:hAnsiTheme="majorHAnsi"/>
                <w:sz w:val="20"/>
              </w:rPr>
              <w:t>Refill casing with another 36 inches of clean water and monitor water level (measured drop from the top of the casing) for 1 hour. Repeat this procedure (filling the casing each time) 3 additional times, for a total of 4 observations. Upon the tester’s discretion, the final field rate may either be the average of the 4 observations, or the value of the last observation. The final rate should be reported in inches per hour.</w:t>
            </w:r>
          </w:p>
          <w:p w14:paraId="2347421A" w14:textId="77777777" w:rsidR="004A4AC6" w:rsidRPr="00CB4658" w:rsidRDefault="004A4AC6" w:rsidP="00CB4658">
            <w:pPr>
              <w:pStyle w:val="LFTBullet1"/>
              <w:ind w:left="252" w:hanging="180"/>
              <w:rPr>
                <w:rFonts w:asciiTheme="majorHAnsi" w:hAnsiTheme="majorHAnsi"/>
                <w:sz w:val="20"/>
              </w:rPr>
            </w:pPr>
            <w:r w:rsidRPr="00CB4658">
              <w:rPr>
                <w:rFonts w:asciiTheme="majorHAnsi" w:hAnsiTheme="majorHAnsi"/>
                <w:sz w:val="20"/>
              </w:rPr>
              <w:t>May be done through a boring or open excavation that is protected from access by the public.</w:t>
            </w:r>
          </w:p>
          <w:p w14:paraId="7FBFA593" w14:textId="77777777" w:rsidR="004A4AC6" w:rsidRPr="00CB4658" w:rsidRDefault="004A4AC6" w:rsidP="00CB4658">
            <w:pPr>
              <w:pStyle w:val="LFTBullet1"/>
              <w:ind w:left="252" w:hanging="180"/>
              <w:rPr>
                <w:rFonts w:asciiTheme="majorHAnsi" w:hAnsiTheme="majorHAnsi"/>
                <w:sz w:val="20"/>
              </w:rPr>
            </w:pPr>
            <w:r w:rsidRPr="00CB4658">
              <w:rPr>
                <w:rFonts w:asciiTheme="majorHAnsi" w:hAnsiTheme="majorHAnsi"/>
                <w:sz w:val="20"/>
              </w:rPr>
              <w:t>The location of the test should correspond to the BMP location.</w:t>
            </w:r>
          </w:p>
          <w:p w14:paraId="764004B4" w14:textId="77777777" w:rsidR="004A4AC6" w:rsidRPr="00CB4658" w:rsidRDefault="004A4AC6" w:rsidP="00CB4658">
            <w:pPr>
              <w:pStyle w:val="LFTTabletext"/>
              <w:spacing w:after="120" w:line="264" w:lineRule="auto"/>
              <w:rPr>
                <w:sz w:val="20"/>
              </w:rPr>
            </w:pPr>
            <w:r w:rsidRPr="00CB4658">
              <w:rPr>
                <w:sz w:val="20"/>
              </w:rPr>
              <w:t>Upon completion of the testing, the casings should be immediately pulled, and the test pit should be back-filled.</w:t>
            </w:r>
          </w:p>
        </w:tc>
        <w:tc>
          <w:tcPr>
            <w:tcW w:w="5400" w:type="dxa"/>
            <w:tcBorders>
              <w:top w:val="single" w:sz="4" w:space="0" w:color="auto"/>
              <w:left w:val="single" w:sz="4" w:space="0" w:color="auto"/>
              <w:bottom w:val="single" w:sz="4" w:space="0" w:color="auto"/>
              <w:right w:val="single" w:sz="4" w:space="0" w:color="auto"/>
            </w:tcBorders>
          </w:tcPr>
          <w:p w14:paraId="11015F36" w14:textId="77777777" w:rsidR="004A4AC6" w:rsidRPr="00CB4658" w:rsidRDefault="004A4AC6" w:rsidP="00CB4658">
            <w:pPr>
              <w:pStyle w:val="LFTTabletext"/>
              <w:spacing w:after="120" w:line="264" w:lineRule="auto"/>
              <w:rPr>
                <w:sz w:val="20"/>
              </w:rPr>
            </w:pPr>
          </w:p>
        </w:tc>
      </w:tr>
      <w:tr w:rsidR="004A4AC6" w:rsidRPr="00CB4658" w14:paraId="6C70CA92" w14:textId="77777777" w:rsidTr="00CB4658">
        <w:trPr>
          <w:trHeight w:val="144"/>
        </w:trPr>
        <w:tc>
          <w:tcPr>
            <w:tcW w:w="1368" w:type="dxa"/>
            <w:tcBorders>
              <w:top w:val="single" w:sz="4" w:space="0" w:color="auto"/>
              <w:left w:val="single" w:sz="4" w:space="0" w:color="auto"/>
              <w:bottom w:val="single" w:sz="4" w:space="0" w:color="auto"/>
              <w:right w:val="single" w:sz="4" w:space="0" w:color="auto"/>
            </w:tcBorders>
          </w:tcPr>
          <w:p w14:paraId="45784615" w14:textId="77777777" w:rsidR="004A4AC6" w:rsidRPr="00CB4658" w:rsidRDefault="004A4AC6" w:rsidP="00CB4658">
            <w:pPr>
              <w:pStyle w:val="LFTTabletext"/>
              <w:spacing w:after="120" w:line="264" w:lineRule="auto"/>
              <w:rPr>
                <w:sz w:val="20"/>
              </w:rPr>
            </w:pPr>
            <w:r w:rsidRPr="00CB4658">
              <w:rPr>
                <w:sz w:val="20"/>
              </w:rPr>
              <w:t>Geophysical and Dye Techniques</w:t>
            </w:r>
          </w:p>
        </w:tc>
        <w:tc>
          <w:tcPr>
            <w:tcW w:w="4860" w:type="dxa"/>
            <w:tcBorders>
              <w:top w:val="single" w:sz="4" w:space="0" w:color="auto"/>
              <w:left w:val="single" w:sz="4" w:space="0" w:color="auto"/>
              <w:bottom w:val="single" w:sz="4" w:space="0" w:color="auto"/>
              <w:right w:val="single" w:sz="4" w:space="0" w:color="auto"/>
            </w:tcBorders>
          </w:tcPr>
          <w:p w14:paraId="322562AE" w14:textId="77777777" w:rsidR="004A4AC6" w:rsidRPr="00CB4658" w:rsidRDefault="004A4AC6" w:rsidP="00CB4658">
            <w:pPr>
              <w:pStyle w:val="LFTTabletext"/>
              <w:spacing w:after="120" w:line="264" w:lineRule="auto"/>
              <w:rPr>
                <w:sz w:val="20"/>
              </w:rPr>
            </w:pPr>
          </w:p>
        </w:tc>
        <w:tc>
          <w:tcPr>
            <w:tcW w:w="5130" w:type="dxa"/>
            <w:tcBorders>
              <w:top w:val="single" w:sz="4" w:space="0" w:color="auto"/>
              <w:left w:val="single" w:sz="4" w:space="0" w:color="auto"/>
              <w:bottom w:val="single" w:sz="4" w:space="0" w:color="auto"/>
              <w:right w:val="single" w:sz="4" w:space="0" w:color="auto"/>
            </w:tcBorders>
          </w:tcPr>
          <w:p w14:paraId="5F4778E3" w14:textId="77777777" w:rsidR="004A4AC6" w:rsidRPr="00CB4658" w:rsidRDefault="004A4AC6" w:rsidP="00CB4658">
            <w:pPr>
              <w:pStyle w:val="LFTTabletext"/>
              <w:spacing w:after="120" w:line="264" w:lineRule="auto"/>
              <w:rPr>
                <w:sz w:val="20"/>
              </w:rPr>
            </w:pPr>
          </w:p>
        </w:tc>
        <w:tc>
          <w:tcPr>
            <w:tcW w:w="5130" w:type="dxa"/>
            <w:tcBorders>
              <w:top w:val="single" w:sz="4" w:space="0" w:color="auto"/>
              <w:left w:val="single" w:sz="4" w:space="0" w:color="auto"/>
              <w:bottom w:val="single" w:sz="4" w:space="0" w:color="auto"/>
              <w:right w:val="single" w:sz="4" w:space="0" w:color="auto"/>
            </w:tcBorders>
          </w:tcPr>
          <w:p w14:paraId="53F587D6" w14:textId="77777777" w:rsidR="004A4AC6" w:rsidRPr="00CB4658" w:rsidRDefault="004A4AC6" w:rsidP="00CB4658">
            <w:pPr>
              <w:pStyle w:val="LFTBody"/>
              <w:rPr>
                <w:rFonts w:asciiTheme="majorHAnsi" w:hAnsiTheme="majorHAnsi"/>
                <w:sz w:val="20"/>
              </w:rPr>
            </w:pPr>
          </w:p>
        </w:tc>
        <w:tc>
          <w:tcPr>
            <w:tcW w:w="5400" w:type="dxa"/>
            <w:tcBorders>
              <w:top w:val="single" w:sz="4" w:space="0" w:color="auto"/>
              <w:left w:val="single" w:sz="4" w:space="0" w:color="auto"/>
              <w:bottom w:val="single" w:sz="4" w:space="0" w:color="auto"/>
              <w:right w:val="single" w:sz="4" w:space="0" w:color="auto"/>
            </w:tcBorders>
          </w:tcPr>
          <w:p w14:paraId="0D6901C0" w14:textId="77777777" w:rsidR="004A4AC6" w:rsidRPr="00CB4658" w:rsidRDefault="004A4AC6" w:rsidP="00CB4658">
            <w:pPr>
              <w:pStyle w:val="LFTBody"/>
              <w:rPr>
                <w:rFonts w:asciiTheme="majorHAnsi" w:hAnsiTheme="majorHAnsi"/>
                <w:sz w:val="20"/>
              </w:rPr>
            </w:pPr>
            <w:r w:rsidRPr="00CB4658">
              <w:rPr>
                <w:rFonts w:asciiTheme="majorHAnsi" w:hAnsiTheme="majorHAnsi"/>
                <w:sz w:val="20"/>
              </w:rPr>
              <w:t xml:space="preserve">Stormwater managers in need of subsurface geophysical surveys are encouraged to obtain the services of a qualified geophysicist experienced in karst geology. Some of the geophysical techniques available for use in karst terrain include: seismic refraction, ground-penetrating radar, and electric resistivity. The surest way to determine the flow path of water in karst geology is to inject dye into the karst feature (sinkhole or fracture) and watch to see where it emerges, usually from a spring. The emergence of a known dye from a spring grants certainty to a suspicion that ground water moves </w:t>
            </w:r>
            <w:r w:rsidRPr="00CB4658">
              <w:rPr>
                <w:rFonts w:asciiTheme="majorHAnsi" w:hAnsiTheme="majorHAnsi"/>
                <w:sz w:val="20"/>
              </w:rPr>
              <w:lastRenderedPageBreak/>
              <w:t>in a particular pattern. Dye tracing can vary substantially in cost depending upon the local karst complexity, but it can be a reasonably priced alternative, especially when the certainty is needed.</w:t>
            </w:r>
          </w:p>
          <w:p w14:paraId="1074D089" w14:textId="77777777" w:rsidR="004A4AC6" w:rsidRPr="00CB4658" w:rsidRDefault="004A4AC6" w:rsidP="00CB4658">
            <w:pPr>
              <w:pStyle w:val="LFTTabletext"/>
              <w:spacing w:after="120" w:line="264" w:lineRule="auto"/>
              <w:rPr>
                <w:sz w:val="20"/>
              </w:rPr>
            </w:pPr>
          </w:p>
        </w:tc>
      </w:tr>
    </w:tbl>
    <w:p w14:paraId="497D56DB" w14:textId="77777777" w:rsidR="004A4AC6" w:rsidRDefault="004A4AC6" w:rsidP="0005723F">
      <w:pPr>
        <w:pStyle w:val="LFTBody"/>
      </w:pPr>
    </w:p>
    <w:p w14:paraId="30893C4C" w14:textId="77777777" w:rsidR="004A4AC6" w:rsidRDefault="004A4AC6">
      <w:pPr>
        <w:spacing w:line="276" w:lineRule="auto"/>
        <w:sectPr w:rsidR="004A4AC6" w:rsidSect="004A4AC6">
          <w:headerReference w:type="default" r:id="rId38"/>
          <w:headerReference w:type="first" r:id="rId39"/>
          <w:footerReference w:type="first" r:id="rId40"/>
          <w:pgSz w:w="24480" w:h="15840" w:orient="landscape" w:code="17"/>
          <w:pgMar w:top="1627" w:right="1440" w:bottom="1440" w:left="1440" w:header="720" w:footer="720" w:gutter="0"/>
          <w:pgNumType w:start="10"/>
          <w:cols w:space="720"/>
          <w:titlePg/>
          <w:docGrid w:linePitch="360"/>
        </w:sectPr>
      </w:pPr>
    </w:p>
    <w:p w14:paraId="5512F783" w14:textId="77777777" w:rsidR="001F046A" w:rsidRPr="001F046A" w:rsidRDefault="001F046A" w:rsidP="006F4324">
      <w:pPr>
        <w:pStyle w:val="LFTHeading2"/>
        <w:numPr>
          <w:ilvl w:val="1"/>
          <w:numId w:val="8"/>
        </w:numPr>
      </w:pPr>
      <w:r w:rsidRPr="001F046A">
        <w:lastRenderedPageBreak/>
        <w:t>Zoning Restrictions</w:t>
      </w:r>
    </w:p>
    <w:p w14:paraId="53AE4A95" w14:textId="77777777" w:rsidR="001F046A" w:rsidRPr="00D91C6D" w:rsidRDefault="00BC6982" w:rsidP="00BC6982">
      <w:pPr>
        <w:pStyle w:val="LFTHeading3"/>
      </w:pPr>
      <w:r>
        <w:t xml:space="preserve">2.5.1 </w:t>
      </w:r>
      <w:r w:rsidR="001F046A" w:rsidRPr="00D91C6D">
        <w:t>Wellhead Protection Areas</w:t>
      </w:r>
    </w:p>
    <w:p w14:paraId="607028D8" w14:textId="628313BE" w:rsidR="001F046A" w:rsidRPr="00371565" w:rsidRDefault="001F046A" w:rsidP="00BC6982">
      <w:pPr>
        <w:pStyle w:val="LFTBody"/>
      </w:pPr>
      <w:r w:rsidRPr="00371565">
        <w:t xml:space="preserve">A Wellhead Protection Area (WHPA) is the recharge area for a </w:t>
      </w:r>
      <w:r w:rsidR="00CE0609">
        <w:t xml:space="preserve">public supply </w:t>
      </w:r>
      <w:r w:rsidRPr="00371565">
        <w:t>well</w:t>
      </w:r>
      <w:r w:rsidR="00CE0609">
        <w:t>. The Wellhead Protection Program</w:t>
      </w:r>
      <w:r w:rsidRPr="00371565">
        <w:t xml:space="preserve"> is administered by the Minnesota Department of Health (MDH). Wellhead protection planning is largely a local activity in Minnesota. Individual public water supply systems decide how to manage land use within </w:t>
      </w:r>
      <w:r w:rsidR="00B26137">
        <w:t>WHPAs</w:t>
      </w:r>
      <w:r w:rsidRPr="00371565">
        <w:t>. WHPAs are managed to safeguard the drinking water supply.</w:t>
      </w:r>
    </w:p>
    <w:p w14:paraId="49DBC3D4" w14:textId="72326C99" w:rsidR="001F046A" w:rsidRDefault="001F046A" w:rsidP="00BC6982">
      <w:pPr>
        <w:pStyle w:val="LFTBody"/>
      </w:pPr>
      <w:r w:rsidRPr="00371565">
        <w:t xml:space="preserve">WHPA boundaries are defined and a vulnerability assessment is included in wellhead protection plans, available from the Wellhead Protection Manager at the public water supplier or from MDH staff. </w:t>
      </w:r>
      <w:r w:rsidR="00CE0609">
        <w:t>Stormwater infiltration within a WHPA is not recommended i</w:t>
      </w:r>
      <w:r w:rsidRPr="00371565">
        <w:t>f the aquifer receiving the water from the proposed stormwater BMP exhibits fracture or solution-enhancing groundwater flow conditions</w:t>
      </w:r>
      <w:r w:rsidR="00217E18">
        <w:t xml:space="preserve">. </w:t>
      </w:r>
    </w:p>
    <w:p w14:paraId="0EF4824C" w14:textId="661BBFE8" w:rsidR="001F046A" w:rsidRDefault="001F046A" w:rsidP="00BC6982">
      <w:pPr>
        <w:pStyle w:val="LFTBody"/>
      </w:pPr>
      <w:r w:rsidRPr="00371565">
        <w:t xml:space="preserve">The MDH has laid out a </w:t>
      </w:r>
      <w:hyperlink r:id="rId41" w:history="1">
        <w:r w:rsidRPr="00BC6982">
          <w:rPr>
            <w:rStyle w:val="Hyperlink"/>
          </w:rPr>
          <w:t>six-step process</w:t>
        </w:r>
      </w:hyperlink>
      <w:r w:rsidRPr="00BC6982">
        <w:rPr>
          <w:rStyle w:val="Hyperlink"/>
        </w:rPr>
        <w:t xml:space="preserve"> </w:t>
      </w:r>
      <w:r w:rsidRPr="00371565">
        <w:t>for evaluating proposed stormwater infiltration projects in vulnerable wellhead protection areas. The process is summarized using the following flowchart (</w:t>
      </w:r>
      <w:r w:rsidRPr="00371565">
        <w:rPr>
          <w:b/>
        </w:rPr>
        <w:t xml:space="preserve">Figure </w:t>
      </w:r>
      <w:r w:rsidR="00BC6982">
        <w:rPr>
          <w:b/>
        </w:rPr>
        <w:t>2.</w:t>
      </w:r>
      <w:r w:rsidR="00E54456">
        <w:rPr>
          <w:b/>
        </w:rPr>
        <w:t>3)</w:t>
      </w:r>
      <w:r w:rsidRPr="00371565">
        <w:t>.</w:t>
      </w:r>
    </w:p>
    <w:p w14:paraId="47739B48" w14:textId="7AA32105" w:rsidR="00E54456" w:rsidRDefault="00E54456" w:rsidP="00BC6982">
      <w:pPr>
        <w:pStyle w:val="LFTBody"/>
      </w:pPr>
      <w:r>
        <w:rPr>
          <w:noProof/>
          <w:lang w:bidi="ar-SA"/>
        </w:rPr>
        <w:lastRenderedPageBreak/>
        <w:drawing>
          <wp:inline distT="0" distB="0" distL="0" distR="0" wp14:anchorId="5F36B96C" wp14:editId="6BDAD6AA">
            <wp:extent cx="5312242" cy="6126480"/>
            <wp:effectExtent l="0" t="0" r="317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18676" cy="6133900"/>
                    </a:xfrm>
                    <a:prstGeom prst="rect">
                      <a:avLst/>
                    </a:prstGeom>
                  </pic:spPr>
                </pic:pic>
              </a:graphicData>
            </a:graphic>
          </wp:inline>
        </w:drawing>
      </w:r>
    </w:p>
    <w:p w14:paraId="5ACCFAC6" w14:textId="571D9B40" w:rsidR="00E54456" w:rsidRPr="000A2FCC" w:rsidRDefault="00E54456" w:rsidP="00E54456">
      <w:pPr>
        <w:pStyle w:val="LFTBody"/>
        <w:rPr>
          <w:rFonts w:asciiTheme="majorHAnsi" w:hAnsiTheme="majorHAnsi"/>
        </w:rPr>
      </w:pPr>
      <w:r>
        <w:rPr>
          <w:rFonts w:asciiTheme="majorHAnsi" w:hAnsiTheme="majorHAnsi"/>
          <w:b/>
        </w:rPr>
        <w:t>Figure 2.3</w:t>
      </w:r>
      <w:r w:rsidRPr="000A2FCC">
        <w:rPr>
          <w:rFonts w:asciiTheme="majorHAnsi" w:hAnsiTheme="majorHAnsi"/>
          <w:b/>
        </w:rPr>
        <w:t xml:space="preserve"> </w:t>
      </w:r>
      <w:r>
        <w:rPr>
          <w:rFonts w:asciiTheme="majorHAnsi" w:hAnsiTheme="majorHAnsi"/>
          <w:b/>
        </w:rPr>
        <w:t>Flow Chart for Evaluating Proposed Stormwater Infiltration Projects in Areas with Vulnerable Groundwater</w:t>
      </w:r>
      <w:r w:rsidRPr="000A2FCC">
        <w:rPr>
          <w:rFonts w:asciiTheme="majorHAnsi" w:hAnsiTheme="majorHAnsi"/>
        </w:rPr>
        <w:t xml:space="preserve"> (</w:t>
      </w:r>
      <w:r>
        <w:rPr>
          <w:rFonts w:asciiTheme="majorHAnsi" w:hAnsiTheme="majorHAnsi"/>
        </w:rPr>
        <w:t xml:space="preserve">Source: Minnesota Department of Health, </w:t>
      </w:r>
      <w:r w:rsidR="009C132F">
        <w:rPr>
          <w:rFonts w:asciiTheme="majorHAnsi" w:hAnsiTheme="majorHAnsi"/>
        </w:rPr>
        <w:t>with permission</w:t>
      </w:r>
      <w:r w:rsidR="00896BC5">
        <w:rPr>
          <w:rFonts w:asciiTheme="majorHAnsi" w:hAnsiTheme="majorHAnsi"/>
        </w:rPr>
        <w:t>, 2007</w:t>
      </w:r>
      <w:r w:rsidR="009C132F">
        <w:rPr>
          <w:rFonts w:asciiTheme="majorHAnsi" w:hAnsiTheme="majorHAnsi"/>
        </w:rPr>
        <w:t>)</w:t>
      </w:r>
    </w:p>
    <w:p w14:paraId="55374EC3" w14:textId="77777777" w:rsidR="001F046A" w:rsidRDefault="001F046A" w:rsidP="00BC6982">
      <w:pPr>
        <w:pStyle w:val="LFTBody"/>
      </w:pPr>
      <w:r w:rsidRPr="00371565">
        <w:t xml:space="preserve">Infiltration of stormwater within WHPAs is not recommended in such settings, especially if karst features exist. </w:t>
      </w:r>
      <w:r>
        <w:t>Infiltration BMPs are not appropriate in the following situations:</w:t>
      </w:r>
    </w:p>
    <w:p w14:paraId="45D56EAC" w14:textId="77777777" w:rsidR="001F046A" w:rsidRDefault="001F046A" w:rsidP="00BC6982">
      <w:pPr>
        <w:pStyle w:val="LFTBullet1"/>
      </w:pPr>
      <w:r w:rsidRPr="00AF0C02">
        <w:rPr>
          <w:b/>
        </w:rPr>
        <w:t>The proposed stormwater infiltration site is within the 1 year time of travel</w:t>
      </w:r>
      <w:r w:rsidRPr="00371565">
        <w:t xml:space="preserve"> (known as the emergency response zone) as designated by MDH</w:t>
      </w:r>
      <w:r>
        <w:t>.</w:t>
      </w:r>
      <w:r w:rsidRPr="00371565">
        <w:t xml:space="preserve"> </w:t>
      </w:r>
    </w:p>
    <w:p w14:paraId="2803A28A" w14:textId="77777777" w:rsidR="001F046A" w:rsidRDefault="001F046A" w:rsidP="00BC6982">
      <w:pPr>
        <w:pStyle w:val="LFTBullet1"/>
      </w:pPr>
      <w:r w:rsidRPr="00AF0C02">
        <w:rPr>
          <w:b/>
        </w:rPr>
        <w:t xml:space="preserve">Sites where predominant land uses upgradient of the proposed infiltration site contain contaminants generated </w:t>
      </w:r>
      <w:r w:rsidR="00BC6982" w:rsidRPr="00AF0C02">
        <w:rPr>
          <w:b/>
        </w:rPr>
        <w:t>by PSHs</w:t>
      </w:r>
      <w:r w:rsidRPr="00371565">
        <w:t>; additional information about PSHs can be found</w:t>
      </w:r>
      <w:hyperlink w:anchor="PSH" w:history="1">
        <w:r w:rsidRPr="00F82967">
          <w:rPr>
            <w:rStyle w:val="Hyperlink"/>
            <w:rFonts w:asciiTheme="majorHAnsi" w:hAnsiTheme="majorHAnsi"/>
          </w:rPr>
          <w:t xml:space="preserve"> </w:t>
        </w:r>
        <w:r w:rsidRPr="00BC6982">
          <w:rPr>
            <w:rStyle w:val="Hyperlink"/>
          </w:rPr>
          <w:t>here</w:t>
        </w:r>
      </w:hyperlink>
      <w:r w:rsidRPr="00371565">
        <w:t xml:space="preserve">. </w:t>
      </w:r>
      <w:r w:rsidRPr="00371565">
        <w:lastRenderedPageBreak/>
        <w:t xml:space="preserve">Dependent on the upgradient land uses, emergency procedures for containment of spills must be established and acceptable. </w:t>
      </w:r>
    </w:p>
    <w:p w14:paraId="2E7F4ABF" w14:textId="77777777" w:rsidR="001F046A" w:rsidRDefault="001F046A" w:rsidP="00BC6982">
      <w:pPr>
        <w:pStyle w:val="LFTBody"/>
      </w:pPr>
      <w:r w:rsidRPr="00371565">
        <w:t xml:space="preserve">For stormwater infiltration practices in WHPAs, the water exiting the infiltration device and recharging the groundwater system should meet federal drinking water quality standards. </w:t>
      </w:r>
    </w:p>
    <w:p w14:paraId="64634738" w14:textId="77777777" w:rsidR="001F046A" w:rsidRPr="00371565" w:rsidRDefault="00B40B8C" w:rsidP="00BC6982">
      <w:pPr>
        <w:pStyle w:val="LFTBody"/>
      </w:pPr>
      <w:r>
        <w:t>Additional recommendations on managing stormwater in source water protection areas are</w:t>
      </w:r>
      <w:r w:rsidR="001F046A">
        <w:t xml:space="preserve"> available from the USEPA in the document titled </w:t>
      </w:r>
      <w:hyperlink r:id="rId43" w:history="1">
        <w:r w:rsidR="001F046A" w:rsidRPr="00BC6982">
          <w:rPr>
            <w:rStyle w:val="Hyperlink"/>
          </w:rPr>
          <w:t>Managing Stormwater Runoff to Prevent Contamination of Drinking Water</w:t>
        </w:r>
      </w:hyperlink>
      <w:r w:rsidR="001F046A">
        <w:t>.</w:t>
      </w:r>
    </w:p>
    <w:p w14:paraId="4FB01446" w14:textId="5DD67C5A" w:rsidR="001F046A" w:rsidRPr="00D91C6D" w:rsidRDefault="00BC6982" w:rsidP="00BC6982">
      <w:pPr>
        <w:pStyle w:val="LFTHeading3"/>
      </w:pPr>
      <w:r>
        <w:t xml:space="preserve">2.5.2 </w:t>
      </w:r>
      <w:r w:rsidR="009278EA" w:rsidRPr="00D91C6D">
        <w:t>Shorel</w:t>
      </w:r>
      <w:r w:rsidR="009278EA">
        <w:t>and</w:t>
      </w:r>
      <w:r w:rsidR="009278EA" w:rsidRPr="00D91C6D">
        <w:t xml:space="preserve"> </w:t>
      </w:r>
      <w:r w:rsidR="001F046A" w:rsidRPr="00D91C6D">
        <w:t>Zones</w:t>
      </w:r>
    </w:p>
    <w:p w14:paraId="31068E9B" w14:textId="5A042828" w:rsidR="001F046A" w:rsidRPr="009278EA" w:rsidRDefault="001F046A" w:rsidP="001F046A">
      <w:pPr>
        <w:pStyle w:val="LFTMemoTEXT"/>
        <w:spacing w:after="200" w:line="264" w:lineRule="auto"/>
        <w:rPr>
          <w:sz w:val="21"/>
        </w:rPr>
      </w:pPr>
      <w:r w:rsidRPr="009278EA">
        <w:rPr>
          <w:sz w:val="21"/>
          <w:szCs w:val="21"/>
        </w:rPr>
        <w:t>Regulation of infiltration BMPs may be subject to local</w:t>
      </w:r>
      <w:r w:rsidR="00BC6982" w:rsidRPr="009278EA">
        <w:rPr>
          <w:sz w:val="21"/>
          <w:szCs w:val="21"/>
        </w:rPr>
        <w:t xml:space="preserve"> shoreline</w:t>
      </w:r>
      <w:r w:rsidR="009B3C68" w:rsidRPr="009278EA">
        <w:rPr>
          <w:sz w:val="21"/>
          <w:szCs w:val="21"/>
        </w:rPr>
        <w:t xml:space="preserve"> ordinances</w:t>
      </w:r>
      <w:r w:rsidR="00BC6982" w:rsidRPr="009278EA">
        <w:rPr>
          <w:sz w:val="21"/>
          <w:szCs w:val="21"/>
        </w:rPr>
        <w:t>,</w:t>
      </w:r>
      <w:r w:rsidRPr="009278EA">
        <w:rPr>
          <w:sz w:val="21"/>
          <w:szCs w:val="21"/>
        </w:rPr>
        <w:t xml:space="preserve"> found at the local city or county zoning offices</w:t>
      </w:r>
      <w:r w:rsidR="00B26137" w:rsidRPr="009278EA">
        <w:rPr>
          <w:sz w:val="21"/>
          <w:szCs w:val="21"/>
        </w:rPr>
        <w:t>,</w:t>
      </w:r>
      <w:r w:rsidRPr="009278EA">
        <w:rPr>
          <w:sz w:val="21"/>
          <w:szCs w:val="21"/>
        </w:rPr>
        <w:t xml:space="preserve"> as well as the local watershed management organization or soil and water conservation district.</w:t>
      </w:r>
      <w:r w:rsidR="0073336F" w:rsidRPr="009278EA">
        <w:rPr>
          <w:sz w:val="21"/>
          <w:szCs w:val="21"/>
        </w:rPr>
        <w:t xml:space="preserve"> Additional regulations can be found under </w:t>
      </w:r>
      <w:hyperlink r:id="rId44" w:history="1">
        <w:r w:rsidR="0073336F" w:rsidRPr="009278EA">
          <w:rPr>
            <w:rStyle w:val="Hyperlink"/>
            <w:color w:val="auto"/>
            <w:sz w:val="21"/>
            <w:szCs w:val="21"/>
          </w:rPr>
          <w:t>Minnesota Administrative Rules Part 6120.3300 Subpart 11</w:t>
        </w:r>
      </w:hyperlink>
      <w:r w:rsidR="0073336F" w:rsidRPr="009278EA">
        <w:rPr>
          <w:rFonts w:asciiTheme="majorHAnsi" w:hAnsiTheme="majorHAnsi"/>
          <w:sz w:val="21"/>
        </w:rPr>
        <w:t>.</w:t>
      </w:r>
      <w:r w:rsidR="009278EA">
        <w:rPr>
          <w:rFonts w:asciiTheme="majorHAnsi" w:hAnsiTheme="majorHAnsi"/>
          <w:sz w:val="21"/>
        </w:rPr>
        <w:t xml:space="preserve"> </w:t>
      </w:r>
      <w:r w:rsidR="009278EA" w:rsidRPr="009278EA">
        <w:rPr>
          <w:sz w:val="21"/>
        </w:rPr>
        <w:t xml:space="preserve">The </w:t>
      </w:r>
      <w:hyperlink r:id="rId45" w:history="1">
        <w:r w:rsidR="009278EA" w:rsidRPr="009278EA">
          <w:rPr>
            <w:rStyle w:val="Hyperlink"/>
            <w:sz w:val="21"/>
          </w:rPr>
          <w:t>Minnesota Administrative Rules</w:t>
        </w:r>
      </w:hyperlink>
      <w:r w:rsidR="009278EA">
        <w:rPr>
          <w:sz w:val="21"/>
        </w:rPr>
        <w:t xml:space="preserve"> that govern shoreland zones includes a section on stormwater management.  These Rules encourage the utilization of natural features for the management of stormwater, including infiltration.  Traditional conveyance of stormwater runoff through storm sewers is discouraged.  </w:t>
      </w:r>
    </w:p>
    <w:p w14:paraId="6399AD98" w14:textId="77777777" w:rsidR="001F046A" w:rsidRPr="001F046A" w:rsidRDefault="001F046A" w:rsidP="006F4324">
      <w:pPr>
        <w:pStyle w:val="LFTHeading2"/>
        <w:numPr>
          <w:ilvl w:val="1"/>
          <w:numId w:val="8"/>
        </w:numPr>
      </w:pPr>
      <w:bookmarkStart w:id="13" w:name="_Toc395180871"/>
      <w:bookmarkStart w:id="14" w:name="Karst"/>
      <w:r w:rsidRPr="001F046A">
        <w:t>Karst</w:t>
      </w:r>
      <w:bookmarkEnd w:id="13"/>
    </w:p>
    <w:bookmarkEnd w:id="14"/>
    <w:p w14:paraId="19A57F88" w14:textId="6611886F" w:rsidR="004959AC" w:rsidRPr="000A1BD0" w:rsidRDefault="000A1BD0" w:rsidP="00BC6982">
      <w:pPr>
        <w:pStyle w:val="LFTBody"/>
        <w:rPr>
          <w:szCs w:val="21"/>
        </w:rPr>
      </w:pPr>
      <w:r w:rsidRPr="000A1BD0">
        <w:rPr>
          <w:szCs w:val="21"/>
        </w:rPr>
        <w:t>Karst geology makes up approximately 20 percent of the la</w:t>
      </w:r>
      <w:r w:rsidR="00C33A3C">
        <w:rPr>
          <w:szCs w:val="21"/>
        </w:rPr>
        <w:t xml:space="preserve">nd surface in the United States. It is </w:t>
      </w:r>
      <w:r w:rsidRPr="000A1BD0">
        <w:rPr>
          <w:szCs w:val="21"/>
        </w:rPr>
        <w:t>also found in other parts of the world such as China, Europe, the Caribbean, Australia, and Madagascar (</w:t>
      </w:r>
      <w:hyperlink r:id="rId46" w:history="1">
        <w:r w:rsidRPr="000A1BD0">
          <w:rPr>
            <w:rStyle w:val="Hyperlink"/>
            <w:szCs w:val="21"/>
          </w:rPr>
          <w:t>USGS, N.D.</w:t>
        </w:r>
      </w:hyperlink>
      <w:r w:rsidRPr="000A1BD0">
        <w:rPr>
          <w:szCs w:val="21"/>
        </w:rPr>
        <w:t xml:space="preserve">). </w:t>
      </w:r>
      <w:r w:rsidR="001F046A" w:rsidRPr="000A1BD0">
        <w:rPr>
          <w:szCs w:val="21"/>
        </w:rPr>
        <w:t>Karst regions</w:t>
      </w:r>
      <w:r w:rsidRPr="000A1BD0">
        <w:rPr>
          <w:szCs w:val="21"/>
        </w:rPr>
        <w:t xml:space="preserve"> in Minnesota</w:t>
      </w:r>
      <w:r w:rsidR="001F046A" w:rsidRPr="000A1BD0">
        <w:rPr>
          <w:szCs w:val="21"/>
        </w:rPr>
        <w:t xml:space="preserve"> are predominantly found in the southeastern portion of the state (</w:t>
      </w:r>
      <w:r w:rsidR="001F046A" w:rsidRPr="000A1BD0">
        <w:rPr>
          <w:b/>
          <w:szCs w:val="21"/>
        </w:rPr>
        <w:t xml:space="preserve">Figure </w:t>
      </w:r>
      <w:r w:rsidR="00BC6982" w:rsidRPr="000A1BD0">
        <w:rPr>
          <w:b/>
          <w:szCs w:val="21"/>
        </w:rPr>
        <w:t>2.</w:t>
      </w:r>
      <w:r w:rsidR="00E54456">
        <w:rPr>
          <w:b/>
          <w:szCs w:val="21"/>
        </w:rPr>
        <w:t>4</w:t>
      </w:r>
      <w:r w:rsidR="001F046A" w:rsidRPr="00614066">
        <w:rPr>
          <w:szCs w:val="21"/>
        </w:rPr>
        <w:t>)</w:t>
      </w:r>
      <w:r w:rsidR="00217E18">
        <w:rPr>
          <w:szCs w:val="21"/>
        </w:rPr>
        <w:t xml:space="preserve">. </w:t>
      </w:r>
      <w:r w:rsidR="00612EB8" w:rsidRPr="00614066">
        <w:rPr>
          <w:szCs w:val="21"/>
        </w:rPr>
        <w:t xml:space="preserve">Use of </w:t>
      </w:r>
      <w:r w:rsidR="009B3C68" w:rsidRPr="00614066">
        <w:rPr>
          <w:szCs w:val="21"/>
        </w:rPr>
        <w:t>infiltration BMPs</w:t>
      </w:r>
      <w:r w:rsidR="00612EB8" w:rsidRPr="00614066">
        <w:rPr>
          <w:szCs w:val="21"/>
        </w:rPr>
        <w:t xml:space="preserve"> in karst regions</w:t>
      </w:r>
      <w:r w:rsidR="001F046A" w:rsidRPr="00614066">
        <w:rPr>
          <w:szCs w:val="21"/>
        </w:rPr>
        <w:t xml:space="preserve"> </w:t>
      </w:r>
      <w:r w:rsidRPr="00614066">
        <w:rPr>
          <w:szCs w:val="21"/>
        </w:rPr>
        <w:t xml:space="preserve">can be complicated and </w:t>
      </w:r>
      <w:r w:rsidR="001F046A" w:rsidRPr="00E160EA">
        <w:rPr>
          <w:szCs w:val="21"/>
        </w:rPr>
        <w:t>necessitate</w:t>
      </w:r>
      <w:r w:rsidR="00612EB8" w:rsidRPr="00E160EA">
        <w:rPr>
          <w:szCs w:val="21"/>
        </w:rPr>
        <w:t>s</w:t>
      </w:r>
      <w:r w:rsidR="001F046A" w:rsidRPr="00E160EA">
        <w:rPr>
          <w:szCs w:val="21"/>
        </w:rPr>
        <w:t xml:space="preserve"> additional requirements f</w:t>
      </w:r>
      <w:r w:rsidR="00612EB8" w:rsidRPr="00EA1E9B">
        <w:rPr>
          <w:szCs w:val="21"/>
        </w:rPr>
        <w:t>or</w:t>
      </w:r>
      <w:r w:rsidR="001F046A" w:rsidRPr="00EA1E9B">
        <w:rPr>
          <w:szCs w:val="21"/>
        </w:rPr>
        <w:t xml:space="preserve"> geotechnical testing, pre-treatment</w:t>
      </w:r>
      <w:r w:rsidR="004959AC" w:rsidRPr="00673B82">
        <w:rPr>
          <w:szCs w:val="21"/>
        </w:rPr>
        <w:t xml:space="preserve"> of stormwater runoff</w:t>
      </w:r>
      <w:r w:rsidR="001F046A" w:rsidRPr="00673B82">
        <w:rPr>
          <w:szCs w:val="21"/>
        </w:rPr>
        <w:t xml:space="preserve">, and ponding of </w:t>
      </w:r>
      <w:r w:rsidR="001F046A" w:rsidRPr="000A1BD0">
        <w:rPr>
          <w:szCs w:val="21"/>
        </w:rPr>
        <w:t>runoff. Caution must be used in interpreting the geographic depiction of karst lands</w:t>
      </w:r>
      <w:r w:rsidRPr="000A1BD0">
        <w:rPr>
          <w:szCs w:val="21"/>
        </w:rPr>
        <w:t xml:space="preserve"> as subsurface conditions can change rapidly over</w:t>
      </w:r>
      <w:r w:rsidR="00E160EA">
        <w:rPr>
          <w:szCs w:val="21"/>
        </w:rPr>
        <w:t xml:space="preserve"> very </w:t>
      </w:r>
      <w:r w:rsidRPr="000A1BD0">
        <w:rPr>
          <w:szCs w:val="21"/>
        </w:rPr>
        <w:t>short distances</w:t>
      </w:r>
      <w:r w:rsidR="00E160EA">
        <w:rPr>
          <w:szCs w:val="21"/>
        </w:rPr>
        <w:t xml:space="preserve"> (Karst Working Group, 2009)</w:t>
      </w:r>
      <w:r w:rsidR="001F046A" w:rsidRPr="000A1BD0">
        <w:rPr>
          <w:szCs w:val="21"/>
        </w:rPr>
        <w:t>. In general, generalized map</w:t>
      </w:r>
      <w:r w:rsidR="00612EB8" w:rsidRPr="000A1BD0">
        <w:rPr>
          <w:szCs w:val="21"/>
        </w:rPr>
        <w:t>s</w:t>
      </w:r>
      <w:r w:rsidR="001F046A" w:rsidRPr="000A1BD0">
        <w:rPr>
          <w:szCs w:val="21"/>
        </w:rPr>
        <w:t xml:space="preserve"> of active karst will be less accurate than a county-scale map.</w:t>
      </w:r>
      <w:r w:rsidR="004959AC" w:rsidRPr="000A1BD0">
        <w:rPr>
          <w:szCs w:val="21"/>
        </w:rPr>
        <w:t xml:space="preserve"> The following county-level maps have been developed.</w:t>
      </w:r>
    </w:p>
    <w:p w14:paraId="7D1A39AD" w14:textId="77777777" w:rsidR="004959AC" w:rsidRPr="000A1BD0" w:rsidRDefault="004959AC" w:rsidP="004959AC">
      <w:pPr>
        <w:rPr>
          <w:sz w:val="21"/>
          <w:szCs w:val="21"/>
        </w:rPr>
      </w:pPr>
      <w:r w:rsidRPr="000A1BD0">
        <w:rPr>
          <w:sz w:val="21"/>
          <w:szCs w:val="21"/>
        </w:rPr>
        <w:t xml:space="preserve">Olmstead: </w:t>
      </w:r>
      <w:hyperlink r:id="rId47" w:history="1">
        <w:r w:rsidRPr="000A1BD0">
          <w:rPr>
            <w:rStyle w:val="Hyperlink"/>
            <w:sz w:val="21"/>
            <w:szCs w:val="21"/>
          </w:rPr>
          <w:t>Sinkholes and sinkhole probability</w:t>
        </w:r>
      </w:hyperlink>
    </w:p>
    <w:p w14:paraId="7223A7AB" w14:textId="77777777" w:rsidR="004959AC" w:rsidRPr="000A1BD0" w:rsidRDefault="004959AC" w:rsidP="004959AC">
      <w:pPr>
        <w:rPr>
          <w:sz w:val="21"/>
          <w:szCs w:val="21"/>
        </w:rPr>
      </w:pPr>
      <w:r w:rsidRPr="000A1BD0">
        <w:rPr>
          <w:sz w:val="21"/>
          <w:szCs w:val="21"/>
        </w:rPr>
        <w:t xml:space="preserve">Wabasha: </w:t>
      </w:r>
      <w:hyperlink r:id="rId48" w:history="1">
        <w:r w:rsidRPr="000A1BD0">
          <w:rPr>
            <w:rStyle w:val="Hyperlink"/>
            <w:sz w:val="21"/>
            <w:szCs w:val="21"/>
          </w:rPr>
          <w:t>Karst features</w:t>
        </w:r>
      </w:hyperlink>
    </w:p>
    <w:p w14:paraId="5CE434D8" w14:textId="77777777" w:rsidR="004959AC" w:rsidRPr="000A1BD0" w:rsidRDefault="004959AC" w:rsidP="004959AC">
      <w:pPr>
        <w:rPr>
          <w:sz w:val="21"/>
          <w:szCs w:val="21"/>
        </w:rPr>
      </w:pPr>
      <w:r w:rsidRPr="000A1BD0">
        <w:rPr>
          <w:sz w:val="21"/>
          <w:szCs w:val="21"/>
        </w:rPr>
        <w:t xml:space="preserve">Fillmore: </w:t>
      </w:r>
      <w:hyperlink r:id="rId49" w:history="1">
        <w:r w:rsidRPr="000A1BD0">
          <w:rPr>
            <w:rStyle w:val="Hyperlink"/>
            <w:sz w:val="21"/>
            <w:szCs w:val="21"/>
          </w:rPr>
          <w:t>Sinkholes and sinkhole probability</w:t>
        </w:r>
      </w:hyperlink>
    </w:p>
    <w:p w14:paraId="39CC27B3" w14:textId="77777777" w:rsidR="004959AC" w:rsidRPr="000A1BD0" w:rsidRDefault="004959AC" w:rsidP="004959AC">
      <w:pPr>
        <w:rPr>
          <w:sz w:val="21"/>
          <w:szCs w:val="21"/>
        </w:rPr>
      </w:pPr>
      <w:r w:rsidRPr="000A1BD0">
        <w:rPr>
          <w:sz w:val="21"/>
          <w:szCs w:val="21"/>
        </w:rPr>
        <w:t xml:space="preserve">Goodhue: </w:t>
      </w:r>
      <w:hyperlink r:id="rId50" w:history="1">
        <w:r w:rsidRPr="000A1BD0">
          <w:rPr>
            <w:rStyle w:val="Hyperlink"/>
            <w:sz w:val="21"/>
            <w:szCs w:val="21"/>
          </w:rPr>
          <w:t>Sinkholes, sinkhole probability, and springs and seeps</w:t>
        </w:r>
      </w:hyperlink>
    </w:p>
    <w:p w14:paraId="681BC0B6" w14:textId="77777777" w:rsidR="004959AC" w:rsidRPr="000A1BD0" w:rsidRDefault="004959AC" w:rsidP="004959AC">
      <w:pPr>
        <w:rPr>
          <w:sz w:val="21"/>
          <w:szCs w:val="21"/>
        </w:rPr>
      </w:pPr>
      <w:r w:rsidRPr="000A1BD0">
        <w:rPr>
          <w:sz w:val="21"/>
          <w:szCs w:val="21"/>
        </w:rPr>
        <w:t xml:space="preserve">Winona: </w:t>
      </w:r>
      <w:hyperlink r:id="rId51" w:history="1">
        <w:r w:rsidRPr="000A1BD0">
          <w:rPr>
            <w:rStyle w:val="Hyperlink"/>
            <w:sz w:val="21"/>
            <w:szCs w:val="21"/>
          </w:rPr>
          <w:t>Sinkhole probability</w:t>
        </w:r>
      </w:hyperlink>
      <w:r w:rsidRPr="000A1BD0">
        <w:rPr>
          <w:sz w:val="21"/>
          <w:szCs w:val="21"/>
        </w:rPr>
        <w:t xml:space="preserve"> (or </w:t>
      </w:r>
      <w:hyperlink r:id="rId52" w:history="1">
        <w:r w:rsidRPr="000A1BD0">
          <w:rPr>
            <w:rStyle w:val="Hyperlink"/>
            <w:sz w:val="21"/>
            <w:szCs w:val="21"/>
          </w:rPr>
          <w:t>link here</w:t>
        </w:r>
      </w:hyperlink>
      <w:r w:rsidRPr="000A1BD0">
        <w:rPr>
          <w:sz w:val="21"/>
          <w:szCs w:val="21"/>
        </w:rPr>
        <w:t>)</w:t>
      </w:r>
    </w:p>
    <w:p w14:paraId="0BBCF949" w14:textId="77777777" w:rsidR="004959AC" w:rsidRPr="000A1BD0" w:rsidRDefault="004959AC" w:rsidP="004959AC">
      <w:pPr>
        <w:rPr>
          <w:sz w:val="21"/>
          <w:szCs w:val="21"/>
        </w:rPr>
      </w:pPr>
      <w:r w:rsidRPr="000A1BD0">
        <w:rPr>
          <w:sz w:val="21"/>
          <w:szCs w:val="21"/>
        </w:rPr>
        <w:t xml:space="preserve">Mower: </w:t>
      </w:r>
      <w:hyperlink r:id="rId53" w:history="1">
        <w:r w:rsidRPr="000A1BD0">
          <w:rPr>
            <w:rStyle w:val="Hyperlink"/>
            <w:sz w:val="21"/>
            <w:szCs w:val="21"/>
          </w:rPr>
          <w:t>Karst hydrogeomorphic units</w:t>
        </w:r>
      </w:hyperlink>
    </w:p>
    <w:p w14:paraId="6BB41FF6" w14:textId="77777777" w:rsidR="004959AC" w:rsidRPr="000A1BD0" w:rsidRDefault="004959AC" w:rsidP="004959AC">
      <w:pPr>
        <w:rPr>
          <w:sz w:val="21"/>
          <w:szCs w:val="21"/>
        </w:rPr>
      </w:pPr>
      <w:r w:rsidRPr="000A1BD0">
        <w:rPr>
          <w:sz w:val="21"/>
          <w:szCs w:val="21"/>
        </w:rPr>
        <w:t xml:space="preserve">Pine: </w:t>
      </w:r>
      <w:hyperlink r:id="rId54" w:history="1">
        <w:r w:rsidRPr="000A1BD0">
          <w:rPr>
            <w:rStyle w:val="Hyperlink"/>
            <w:sz w:val="21"/>
            <w:szCs w:val="21"/>
          </w:rPr>
          <w:t>Sinkhole distribution</w:t>
        </w:r>
      </w:hyperlink>
    </w:p>
    <w:p w14:paraId="783B1447" w14:textId="5E1E2CCE" w:rsidR="004959AC" w:rsidRDefault="00E25952" w:rsidP="00BC6982">
      <w:pPr>
        <w:pStyle w:val="LFTBody"/>
      </w:pPr>
      <w:r>
        <w:rPr>
          <w:noProof/>
          <w:lang w:bidi="ar-SA"/>
        </w:rPr>
        <w:lastRenderedPageBreak/>
        <w:drawing>
          <wp:inline distT="0" distB="0" distL="0" distR="0" wp14:anchorId="505A61EF" wp14:editId="5A36174C">
            <wp:extent cx="5824855" cy="3847465"/>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N Karstlands 2006.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24855" cy="3847465"/>
                    </a:xfrm>
                    <a:prstGeom prst="rect">
                      <a:avLst/>
                    </a:prstGeom>
                  </pic:spPr>
                </pic:pic>
              </a:graphicData>
            </a:graphic>
          </wp:inline>
        </w:drawing>
      </w:r>
    </w:p>
    <w:p w14:paraId="0D85E800" w14:textId="519E1AF8" w:rsidR="004959AC" w:rsidRPr="00B26137" w:rsidRDefault="004959AC" w:rsidP="00BC6982">
      <w:pPr>
        <w:pStyle w:val="LFTBody"/>
        <w:rPr>
          <w:rFonts w:asciiTheme="majorHAnsi" w:hAnsiTheme="majorHAnsi"/>
        </w:rPr>
      </w:pPr>
      <w:r w:rsidRPr="00B26137">
        <w:rPr>
          <w:rFonts w:asciiTheme="majorHAnsi" w:hAnsiTheme="majorHAnsi"/>
          <w:b/>
        </w:rPr>
        <w:t>Figure 2.</w:t>
      </w:r>
      <w:r w:rsidR="00E54456" w:rsidRPr="00B26137">
        <w:rPr>
          <w:rFonts w:asciiTheme="majorHAnsi" w:hAnsiTheme="majorHAnsi"/>
          <w:b/>
        </w:rPr>
        <w:t>4</w:t>
      </w:r>
      <w:r w:rsidR="004B0984" w:rsidRPr="00B26137">
        <w:rPr>
          <w:rFonts w:asciiTheme="majorHAnsi" w:hAnsiTheme="majorHAnsi"/>
          <w:b/>
        </w:rPr>
        <w:t xml:space="preserve"> Minnesota karst lands</w:t>
      </w:r>
      <w:r w:rsidR="004B0984" w:rsidRPr="00B26137">
        <w:rPr>
          <w:rFonts w:asciiTheme="majorHAnsi" w:hAnsiTheme="majorHAnsi"/>
        </w:rPr>
        <w:t xml:space="preserve"> (Source: E. Calvin Alexander, University of Minnesota</w:t>
      </w:r>
      <w:r w:rsidR="00827FC9">
        <w:rPr>
          <w:rFonts w:asciiTheme="majorHAnsi" w:hAnsiTheme="majorHAnsi"/>
        </w:rPr>
        <w:t>, with permission</w:t>
      </w:r>
      <w:r w:rsidR="004B0984" w:rsidRPr="00B26137">
        <w:rPr>
          <w:rFonts w:asciiTheme="majorHAnsi" w:hAnsiTheme="majorHAnsi"/>
        </w:rPr>
        <w:t>)</w:t>
      </w:r>
    </w:p>
    <w:p w14:paraId="0A2EDE18" w14:textId="073505B2" w:rsidR="000A1BD0" w:rsidRDefault="000A1BD0" w:rsidP="00BC6982">
      <w:pPr>
        <w:pStyle w:val="LFTBody"/>
      </w:pPr>
      <w:r>
        <w:t xml:space="preserve">In Minnesota there are three classifications of karst lands (See </w:t>
      </w:r>
      <w:r>
        <w:rPr>
          <w:b/>
        </w:rPr>
        <w:t>Figure 2.</w:t>
      </w:r>
      <w:r w:rsidR="00E54456">
        <w:rPr>
          <w:b/>
        </w:rPr>
        <w:t>4</w:t>
      </w:r>
      <w:r>
        <w:rPr>
          <w:b/>
        </w:rPr>
        <w:t>)</w:t>
      </w:r>
      <w:r>
        <w:t>:</w:t>
      </w:r>
    </w:p>
    <w:p w14:paraId="6C8B4302" w14:textId="31B9AE70" w:rsidR="000A1BD0" w:rsidRDefault="004B0984" w:rsidP="007B7C9C">
      <w:pPr>
        <w:pStyle w:val="LFTBody"/>
        <w:numPr>
          <w:ilvl w:val="0"/>
          <w:numId w:val="22"/>
        </w:numPr>
      </w:pPr>
      <w:r w:rsidRPr="009E340F">
        <w:rPr>
          <w:b/>
        </w:rPr>
        <w:t>Active Karst.</w:t>
      </w:r>
      <w:r w:rsidR="000A1BD0">
        <w:t xml:space="preserve"> Active karst is defined as areas underlain by carbonate bedrock </w:t>
      </w:r>
      <w:r w:rsidR="00614066">
        <w:t>with less than 50 feet of sediment cover.</w:t>
      </w:r>
    </w:p>
    <w:p w14:paraId="43D4DBDC" w14:textId="0DA5A767" w:rsidR="00614066" w:rsidRDefault="004B0984" w:rsidP="007B7C9C">
      <w:pPr>
        <w:pStyle w:val="LFTBody"/>
        <w:numPr>
          <w:ilvl w:val="0"/>
          <w:numId w:val="22"/>
        </w:numPr>
      </w:pPr>
      <w:r w:rsidRPr="009E340F">
        <w:rPr>
          <w:b/>
        </w:rPr>
        <w:t>Transition Karst.</w:t>
      </w:r>
      <w:r w:rsidR="00614066">
        <w:t xml:space="preserve"> Transition karst is defined as areas underlain by carbonate bedrock with 50 to 100 feet of sediment cover.</w:t>
      </w:r>
    </w:p>
    <w:p w14:paraId="3AEB4E4A" w14:textId="4F6192A7" w:rsidR="004B0984" w:rsidRDefault="004B0984" w:rsidP="007B7C9C">
      <w:pPr>
        <w:pStyle w:val="LFTBody"/>
        <w:numPr>
          <w:ilvl w:val="0"/>
          <w:numId w:val="22"/>
        </w:numPr>
      </w:pPr>
      <w:r w:rsidRPr="009E340F">
        <w:rPr>
          <w:b/>
        </w:rPr>
        <w:t>Covered Karst.</w:t>
      </w:r>
      <w:r w:rsidR="00614066">
        <w:t xml:space="preserve"> Covered karst is defined as areas underlain by carbonate bedrock but with more than 100 feet of sediment cover.</w:t>
      </w:r>
    </w:p>
    <w:p w14:paraId="53C16D63" w14:textId="6CFAA33F" w:rsidR="000F32A6" w:rsidRDefault="000F32A6" w:rsidP="008C0B46">
      <w:r w:rsidRPr="000F32A6">
        <w:rPr>
          <w:rFonts w:ascii="Cambria" w:hAnsi="Cambria"/>
          <w:sz w:val="21"/>
          <w:szCs w:val="21"/>
        </w:rPr>
        <w:t xml:space="preserve">A site with Active Karst has the greatest potential for development of a sinkhole below a BMP and the recommendations contained in this section should be considered for all proposed BMPs. For Transitional Karst sites, it is HIGHLY RECOMMENDED that the nature of the overlaying soils should be evaluated with respect to the potential for catastrophic failure given the increase in hydrostatic pressure created by a BMP.  </w:t>
      </w:r>
      <w:r>
        <w:t xml:space="preserve"> </w:t>
      </w:r>
    </w:p>
    <w:p w14:paraId="6282D6F5" w14:textId="3CC6E1F6" w:rsidR="001F046A" w:rsidRPr="00D91C6D" w:rsidRDefault="00BC6982" w:rsidP="00BC6982">
      <w:pPr>
        <w:pStyle w:val="LFTHeading3"/>
      </w:pPr>
      <w:r>
        <w:t xml:space="preserve">2.6.1 </w:t>
      </w:r>
      <w:r w:rsidR="001F046A" w:rsidRPr="00D91C6D">
        <w:t>What is Karst?</w:t>
      </w:r>
    </w:p>
    <w:p w14:paraId="7852F0D5" w14:textId="257EE4B8" w:rsidR="000B3956" w:rsidRDefault="000B3956" w:rsidP="000B3956">
      <w:pPr>
        <w:rPr>
          <w:rFonts w:ascii="Cambria" w:hAnsi="Cambria"/>
          <w:sz w:val="21"/>
          <w:szCs w:val="21"/>
        </w:rPr>
      </w:pPr>
      <w:r>
        <w:rPr>
          <w:rFonts w:ascii="Cambria" w:hAnsi="Cambria"/>
          <w:sz w:val="21"/>
          <w:szCs w:val="21"/>
        </w:rPr>
        <w:t>Karst is a landscape formed by the dissolution of a lay</w:t>
      </w:r>
      <w:r w:rsidR="00C33A3C">
        <w:rPr>
          <w:rFonts w:ascii="Cambria" w:hAnsi="Cambria"/>
          <w:sz w:val="21"/>
          <w:szCs w:val="21"/>
        </w:rPr>
        <w:t>er or layers of soluble bedrock. The bedrock is</w:t>
      </w:r>
      <w:r>
        <w:rPr>
          <w:rFonts w:ascii="Cambria" w:hAnsi="Cambria"/>
          <w:sz w:val="21"/>
          <w:szCs w:val="21"/>
        </w:rPr>
        <w:t xml:space="preserve"> usually carbonate rock such as limestone or dolomite but </w:t>
      </w:r>
      <w:r w:rsidR="00C33A3C">
        <w:rPr>
          <w:rFonts w:ascii="Cambria" w:hAnsi="Cambria"/>
          <w:sz w:val="21"/>
          <w:szCs w:val="21"/>
        </w:rPr>
        <w:t>the dissolution</w:t>
      </w:r>
      <w:r>
        <w:rPr>
          <w:rFonts w:ascii="Cambria" w:hAnsi="Cambria"/>
          <w:sz w:val="21"/>
          <w:szCs w:val="21"/>
        </w:rPr>
        <w:t xml:space="preserve"> has also been documented in weathering resistant rock, such as quartz. The dissolution of the rocks occurs due to the reaction of the rock with acidic water. Rainfall is already slightly acidic due to the absorption of carbon dioxide (CO2)</w:t>
      </w:r>
      <w:r w:rsidR="00B26137">
        <w:rPr>
          <w:rFonts w:ascii="Cambria" w:hAnsi="Cambria"/>
          <w:sz w:val="21"/>
          <w:szCs w:val="21"/>
        </w:rPr>
        <w:t>,</w:t>
      </w:r>
      <w:r>
        <w:rPr>
          <w:rFonts w:ascii="Cambria" w:hAnsi="Cambria"/>
          <w:sz w:val="21"/>
          <w:szCs w:val="21"/>
        </w:rPr>
        <w:t xml:space="preserve"> and becomes more so as it passes </w:t>
      </w:r>
      <w:r w:rsidRPr="00D83CC2">
        <w:rPr>
          <w:rFonts w:ascii="Cambria" w:hAnsi="Cambria"/>
          <w:sz w:val="21"/>
          <w:szCs w:val="21"/>
        </w:rPr>
        <w:t xml:space="preserve">through the subsurface and picks up even more CO2. As </w:t>
      </w:r>
      <w:r w:rsidR="00C33A3C">
        <w:rPr>
          <w:rFonts w:ascii="Cambria" w:hAnsi="Cambria"/>
          <w:sz w:val="21"/>
          <w:szCs w:val="21"/>
        </w:rPr>
        <w:t xml:space="preserve">the </w:t>
      </w:r>
      <w:r w:rsidR="00C33A3C">
        <w:rPr>
          <w:rFonts w:ascii="Cambria" w:hAnsi="Cambria"/>
          <w:sz w:val="21"/>
          <w:szCs w:val="21"/>
        </w:rPr>
        <w:lastRenderedPageBreak/>
        <w:t xml:space="preserve">runoff </w:t>
      </w:r>
      <w:r w:rsidRPr="00D83CC2">
        <w:rPr>
          <w:rFonts w:ascii="Cambria" w:hAnsi="Cambria"/>
          <w:sz w:val="21"/>
          <w:szCs w:val="21"/>
        </w:rPr>
        <w:t>passes through the subsurface and reacts with the rocks, cracks and fissures forms</w:t>
      </w:r>
      <w:r w:rsidR="00D02B38">
        <w:rPr>
          <w:rFonts w:ascii="Cambria" w:hAnsi="Cambria"/>
          <w:sz w:val="21"/>
          <w:szCs w:val="21"/>
        </w:rPr>
        <w:t xml:space="preserve"> (</w:t>
      </w:r>
      <w:r w:rsidR="00D02B38" w:rsidRPr="000A2FCC">
        <w:rPr>
          <w:rFonts w:ascii="Cambria" w:hAnsi="Cambria"/>
          <w:b/>
          <w:sz w:val="21"/>
          <w:szCs w:val="21"/>
        </w:rPr>
        <w:t>Figure 2.</w:t>
      </w:r>
      <w:r w:rsidR="00B26137">
        <w:rPr>
          <w:rFonts w:ascii="Cambria" w:hAnsi="Cambria"/>
          <w:b/>
          <w:sz w:val="21"/>
          <w:szCs w:val="21"/>
        </w:rPr>
        <w:t>5</w:t>
      </w:r>
      <w:r w:rsidR="00D02B38">
        <w:rPr>
          <w:rFonts w:ascii="Cambria" w:hAnsi="Cambria"/>
          <w:sz w:val="21"/>
          <w:szCs w:val="21"/>
        </w:rPr>
        <w:t>)</w:t>
      </w:r>
      <w:r w:rsidRPr="00D83CC2">
        <w:rPr>
          <w:rFonts w:ascii="Cambria" w:hAnsi="Cambria"/>
          <w:sz w:val="21"/>
          <w:szCs w:val="21"/>
        </w:rPr>
        <w:t xml:space="preserve">. These cracks and fissures grow, creating larger passages, caves, and </w:t>
      </w:r>
      <w:r w:rsidR="00B26137">
        <w:rPr>
          <w:rFonts w:ascii="Cambria" w:hAnsi="Cambria"/>
          <w:sz w:val="21"/>
          <w:szCs w:val="21"/>
        </w:rPr>
        <w:t xml:space="preserve">may even form </w:t>
      </w:r>
      <w:r w:rsidRPr="00D83CC2">
        <w:rPr>
          <w:rFonts w:ascii="Cambria" w:hAnsi="Cambria"/>
          <w:sz w:val="21"/>
          <w:szCs w:val="21"/>
        </w:rPr>
        <w:t>sinkholes as more and more acidic water infiltrates into the subsurface (</w:t>
      </w:r>
      <w:hyperlink r:id="rId56" w:history="1">
        <w:r w:rsidRPr="00D83CC2">
          <w:rPr>
            <w:rStyle w:val="Hyperlink"/>
            <w:rFonts w:ascii="Cambria" w:hAnsi="Cambria"/>
            <w:sz w:val="21"/>
            <w:szCs w:val="21"/>
          </w:rPr>
          <w:t>American Rive</w:t>
        </w:r>
        <w:r w:rsidR="00C33A3C">
          <w:rPr>
            <w:rStyle w:val="Hyperlink"/>
            <w:rFonts w:ascii="Cambria" w:hAnsi="Cambria"/>
            <w:sz w:val="21"/>
            <w:szCs w:val="21"/>
          </w:rPr>
          <w:t>rs, N.D</w:t>
        </w:r>
        <w:r w:rsidRPr="00D83CC2">
          <w:rPr>
            <w:rStyle w:val="Hyperlink"/>
            <w:rFonts w:ascii="Cambria" w:hAnsi="Cambria"/>
            <w:sz w:val="21"/>
            <w:szCs w:val="21"/>
          </w:rPr>
          <w:t>.</w:t>
        </w:r>
        <w:r w:rsidRPr="00D83CC2">
          <w:rPr>
            <w:rStyle w:val="Hyperlink"/>
            <w:rFonts w:ascii="Cambria" w:hAnsi="Cambria"/>
            <w:color w:val="auto"/>
            <w:sz w:val="21"/>
            <w:szCs w:val="21"/>
          </w:rPr>
          <w:t>)</w:t>
        </w:r>
      </w:hyperlink>
      <w:r w:rsidRPr="00D83CC2">
        <w:rPr>
          <w:rStyle w:val="Hyperlink"/>
          <w:rFonts w:ascii="Cambria" w:hAnsi="Cambria"/>
          <w:sz w:val="21"/>
          <w:szCs w:val="21"/>
        </w:rPr>
        <w:t>.</w:t>
      </w:r>
      <w:r w:rsidRPr="00D83CC2">
        <w:rPr>
          <w:rFonts w:ascii="Cambria" w:hAnsi="Cambria"/>
          <w:sz w:val="21"/>
          <w:szCs w:val="21"/>
        </w:rPr>
        <w:t xml:space="preserve"> </w:t>
      </w:r>
    </w:p>
    <w:p w14:paraId="20EE185D" w14:textId="513C7BC3" w:rsidR="000B3956" w:rsidRDefault="000B3956" w:rsidP="000B3956">
      <w:pPr>
        <w:rPr>
          <w:rFonts w:ascii="Cambria" w:hAnsi="Cambria"/>
          <w:sz w:val="21"/>
          <w:szCs w:val="21"/>
        </w:rPr>
      </w:pPr>
      <w:r>
        <w:rPr>
          <w:noProof/>
          <w:lang w:bidi="ar-SA"/>
        </w:rPr>
        <w:drawing>
          <wp:inline distT="0" distB="0" distL="0" distR="0" wp14:anchorId="727C6C90" wp14:editId="1026A93D">
            <wp:extent cx="3209925" cy="3323652"/>
            <wp:effectExtent l="0" t="0" r="0" b="0"/>
            <wp:docPr id="11" name="Picture 11" descr="Fig. 1: The features of a kars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The features of a karst syste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27669" cy="3342024"/>
                    </a:xfrm>
                    <a:prstGeom prst="rect">
                      <a:avLst/>
                    </a:prstGeom>
                    <a:noFill/>
                    <a:ln>
                      <a:noFill/>
                    </a:ln>
                  </pic:spPr>
                </pic:pic>
              </a:graphicData>
            </a:graphic>
          </wp:inline>
        </w:drawing>
      </w:r>
    </w:p>
    <w:p w14:paraId="39DD42A8" w14:textId="23D94926" w:rsidR="000B3956" w:rsidRPr="00B26137" w:rsidRDefault="000B3956" w:rsidP="009E340F">
      <w:pPr>
        <w:rPr>
          <w:rFonts w:asciiTheme="majorHAnsi" w:hAnsiTheme="majorHAnsi"/>
          <w:sz w:val="21"/>
          <w:szCs w:val="21"/>
        </w:rPr>
      </w:pPr>
      <w:r w:rsidRPr="00B26137">
        <w:rPr>
          <w:rFonts w:asciiTheme="majorHAnsi" w:hAnsiTheme="majorHAnsi"/>
          <w:b/>
          <w:sz w:val="21"/>
          <w:szCs w:val="21"/>
        </w:rPr>
        <w:t xml:space="preserve">Figure </w:t>
      </w:r>
      <w:r w:rsidR="00D02B38" w:rsidRPr="00B26137">
        <w:rPr>
          <w:rFonts w:asciiTheme="majorHAnsi" w:hAnsiTheme="majorHAnsi"/>
          <w:b/>
          <w:sz w:val="21"/>
          <w:szCs w:val="21"/>
        </w:rPr>
        <w:t>2</w:t>
      </w:r>
      <w:r w:rsidRPr="00B26137">
        <w:rPr>
          <w:rFonts w:asciiTheme="majorHAnsi" w:hAnsiTheme="majorHAnsi"/>
          <w:b/>
          <w:sz w:val="21"/>
          <w:szCs w:val="21"/>
        </w:rPr>
        <w:t>.</w:t>
      </w:r>
      <w:r w:rsidR="00B26137" w:rsidRPr="00B26137">
        <w:rPr>
          <w:rFonts w:asciiTheme="majorHAnsi" w:hAnsiTheme="majorHAnsi"/>
          <w:b/>
          <w:sz w:val="21"/>
          <w:szCs w:val="21"/>
        </w:rPr>
        <w:t>5</w:t>
      </w:r>
      <w:r w:rsidRPr="00B26137">
        <w:rPr>
          <w:rFonts w:asciiTheme="majorHAnsi" w:hAnsiTheme="majorHAnsi"/>
          <w:b/>
          <w:sz w:val="21"/>
          <w:szCs w:val="21"/>
        </w:rPr>
        <w:t xml:space="preserve"> The features of a karst system</w:t>
      </w:r>
      <w:r w:rsidRPr="00B26137">
        <w:rPr>
          <w:rFonts w:asciiTheme="majorHAnsi" w:hAnsiTheme="majorHAnsi"/>
          <w:sz w:val="21"/>
          <w:szCs w:val="21"/>
        </w:rPr>
        <w:t xml:space="preserve"> (</w:t>
      </w:r>
      <w:r w:rsidR="002063EB">
        <w:rPr>
          <w:rFonts w:asciiTheme="majorHAnsi" w:hAnsiTheme="majorHAnsi"/>
          <w:sz w:val="21"/>
          <w:szCs w:val="21"/>
        </w:rPr>
        <w:t>Source:</w:t>
      </w:r>
      <w:r w:rsidRPr="00B26137">
        <w:rPr>
          <w:rFonts w:asciiTheme="majorHAnsi" w:hAnsiTheme="majorHAnsi"/>
          <w:sz w:val="21"/>
          <w:szCs w:val="21"/>
        </w:rPr>
        <w:t xml:space="preserve"> The University of South Texas at Au</w:t>
      </w:r>
      <w:r w:rsidR="004B0984" w:rsidRPr="00B26137">
        <w:rPr>
          <w:rFonts w:asciiTheme="majorHAnsi" w:hAnsiTheme="majorHAnsi"/>
          <w:sz w:val="21"/>
          <w:szCs w:val="21"/>
        </w:rPr>
        <w:t xml:space="preserve">stin – </w:t>
      </w:r>
      <w:r w:rsidR="002063EB">
        <w:rPr>
          <w:rFonts w:asciiTheme="majorHAnsi" w:hAnsiTheme="majorHAnsi"/>
          <w:sz w:val="21"/>
          <w:szCs w:val="21"/>
        </w:rPr>
        <w:t>permission pending</w:t>
      </w:r>
      <w:r w:rsidR="004B0984" w:rsidRPr="00B26137">
        <w:rPr>
          <w:rFonts w:asciiTheme="majorHAnsi" w:hAnsiTheme="majorHAnsi"/>
          <w:sz w:val="21"/>
          <w:szCs w:val="21"/>
        </w:rPr>
        <w:t>).</w:t>
      </w:r>
    </w:p>
    <w:p w14:paraId="007142F4" w14:textId="011F93D2" w:rsidR="00843A47" w:rsidRDefault="001F046A" w:rsidP="002516EC">
      <w:pPr>
        <w:pStyle w:val="LFTBody"/>
      </w:pPr>
      <w:r>
        <w:t>S</w:t>
      </w:r>
      <w:r w:rsidRPr="002D216D">
        <w:t>ubterranean drainage</w:t>
      </w:r>
      <w:r>
        <w:t xml:space="preserve"> through karst geology limits the presence of</w:t>
      </w:r>
      <w:r w:rsidRPr="002D216D">
        <w:t xml:space="preserve"> surface water </w:t>
      </w:r>
      <w:r>
        <w:t>in places</w:t>
      </w:r>
      <w:r w:rsidR="00B26137">
        <w:t>,</w:t>
      </w:r>
      <w:r>
        <w:t xml:space="preserve"> explaining</w:t>
      </w:r>
      <w:r w:rsidRPr="002D216D">
        <w:t xml:space="preserve"> the absence of rivers and lakes. Many karst regions display distinctive surface features</w:t>
      </w:r>
      <w:r>
        <w:t xml:space="preserve"> such as a sinkhole or natural pit</w:t>
      </w:r>
      <w:r w:rsidR="000B3956">
        <w:t xml:space="preserve"> (</w:t>
      </w:r>
      <w:r>
        <w:t xml:space="preserve">often </w:t>
      </w:r>
      <w:r w:rsidR="00FB43F3">
        <w:t>termed cenotes</w:t>
      </w:r>
      <w:r w:rsidRPr="002D216D">
        <w:t xml:space="preserve"> or dolines</w:t>
      </w:r>
      <w:r w:rsidR="000B3956">
        <w:t>), fissures, or caves</w:t>
      </w:r>
      <w:r w:rsidR="00843A47">
        <w:t xml:space="preserve"> </w:t>
      </w:r>
      <w:r w:rsidR="00843A47" w:rsidRPr="000A1BD0">
        <w:rPr>
          <w:szCs w:val="21"/>
        </w:rPr>
        <w:t>(</w:t>
      </w:r>
      <w:hyperlink r:id="rId58" w:history="1">
        <w:r w:rsidR="00843A47" w:rsidRPr="000A1BD0">
          <w:rPr>
            <w:rStyle w:val="Hyperlink"/>
            <w:szCs w:val="21"/>
          </w:rPr>
          <w:t>USGS, N.D.</w:t>
        </w:r>
      </w:hyperlink>
      <w:r w:rsidR="00843A47" w:rsidRPr="000A1BD0">
        <w:rPr>
          <w:szCs w:val="21"/>
        </w:rPr>
        <w:t>).</w:t>
      </w:r>
      <w:r w:rsidRPr="002D216D">
        <w:t xml:space="preserve"> However, distinctive karst surface features may be completely absent where the soluble rock is </w:t>
      </w:r>
      <w:r>
        <w:t xml:space="preserve">below a deep layer of </w:t>
      </w:r>
      <w:r w:rsidRPr="002D216D">
        <w:t>glacial debris</w:t>
      </w:r>
      <w:r>
        <w:t xml:space="preserve"> (termed mantled)</w:t>
      </w:r>
      <w:r w:rsidRPr="002D216D">
        <w:t xml:space="preserve">, or </w:t>
      </w:r>
      <w:r>
        <w:t xml:space="preserve">is </w:t>
      </w:r>
      <w:r w:rsidR="00B40B8C">
        <w:t xml:space="preserve">below </w:t>
      </w:r>
      <w:r w:rsidR="00B40B8C" w:rsidRPr="002D216D">
        <w:t>one</w:t>
      </w:r>
      <w:r w:rsidRPr="002D216D">
        <w:t xml:space="preserve"> or more </w:t>
      </w:r>
      <w:r>
        <w:t>layers of</w:t>
      </w:r>
      <w:r w:rsidRPr="002D216D">
        <w:t xml:space="preserve"> non-soluble rock strata. Some karst regions include thousands of caves, although evidence of caves large enough for human exploration is not a required characteristic of karst.</w:t>
      </w:r>
      <w:r w:rsidR="002516EC">
        <w:t xml:space="preserve"> </w:t>
      </w:r>
    </w:p>
    <w:p w14:paraId="7EB41334" w14:textId="64A49500" w:rsidR="002516EC" w:rsidRDefault="002516EC" w:rsidP="002516EC">
      <w:pPr>
        <w:pStyle w:val="LFTBody"/>
      </w:pPr>
      <w:r w:rsidRPr="002516EC">
        <w:t>Knowledge of the presence of sinkholes is an absolute indication of active karst.</w:t>
      </w:r>
      <w:r w:rsidRPr="00D3030E">
        <w:t xml:space="preserve"> In these cases, an easement or reserve area should be identified on the development pla</w:t>
      </w:r>
      <w:r w:rsidR="00EA3E26">
        <w:t>n</w:t>
      </w:r>
      <w:r w:rsidRPr="00D3030E">
        <w:t>s for the project so that all future landowners know of the presence of active karst on their property</w:t>
      </w:r>
      <w:r w:rsidR="00B26137">
        <w:t>.</w:t>
      </w:r>
    </w:p>
    <w:p w14:paraId="2B93EE46" w14:textId="69887F8A" w:rsidR="007E2F1D" w:rsidRDefault="007E2F1D" w:rsidP="002516EC">
      <w:pPr>
        <w:pStyle w:val="LFTBody"/>
      </w:pPr>
      <w:r>
        <w:t>Additional information on karst in Minnesota can be found at the following sources:</w:t>
      </w:r>
    </w:p>
    <w:p w14:paraId="3491B131" w14:textId="26550D70" w:rsidR="007E2F1D" w:rsidRDefault="00F23DB4" w:rsidP="002516EC">
      <w:pPr>
        <w:pStyle w:val="LFTBody"/>
      </w:pPr>
      <w:hyperlink r:id="rId59" w:history="1">
        <w:r w:rsidR="007E2F1D" w:rsidRPr="007E2F1D">
          <w:rPr>
            <w:rStyle w:val="Hyperlink"/>
          </w:rPr>
          <w:t>Karst in Minnesota</w:t>
        </w:r>
      </w:hyperlink>
      <w:r w:rsidR="007E2F1D">
        <w:t xml:space="preserve"> – Minnesota Pollution Control Agency</w:t>
      </w:r>
    </w:p>
    <w:p w14:paraId="692BCAC2" w14:textId="3BCCB8FF" w:rsidR="007E2F1D" w:rsidRDefault="00F23DB4" w:rsidP="002516EC">
      <w:pPr>
        <w:pStyle w:val="LFTBody"/>
      </w:pPr>
      <w:hyperlink r:id="rId60" w:history="1">
        <w:r w:rsidR="007E2F1D" w:rsidRPr="007E2F1D">
          <w:rPr>
            <w:rStyle w:val="Hyperlink"/>
          </w:rPr>
          <w:t>Karst features in Minnesota</w:t>
        </w:r>
      </w:hyperlink>
      <w:r w:rsidR="007E2F1D">
        <w:t xml:space="preserve"> – Minnesota Geologic Survey</w:t>
      </w:r>
    </w:p>
    <w:p w14:paraId="513B26EA" w14:textId="1DB51BC2" w:rsidR="007E2F1D" w:rsidRPr="00D3030E" w:rsidRDefault="00F23DB4" w:rsidP="002516EC">
      <w:pPr>
        <w:pStyle w:val="LFTBody"/>
      </w:pPr>
      <w:hyperlink r:id="rId61" w:history="1">
        <w:r w:rsidR="007E2F1D" w:rsidRPr="002A652B">
          <w:rPr>
            <w:rStyle w:val="Hyperlink"/>
          </w:rPr>
          <w:t>The Development of a Karst Feature Database for Southeastern Minnesota</w:t>
        </w:r>
      </w:hyperlink>
      <w:r w:rsidR="007E2F1D">
        <w:t xml:space="preserve"> – Alexander and Tipping</w:t>
      </w:r>
    </w:p>
    <w:p w14:paraId="52C31B65" w14:textId="77777777" w:rsidR="009031D1" w:rsidRDefault="009031D1" w:rsidP="00BC6982">
      <w:pPr>
        <w:pStyle w:val="LFTHeading3"/>
        <w:rPr>
          <w:rFonts w:asciiTheme="minorHAnsi" w:eastAsiaTheme="minorHAnsi" w:hAnsiTheme="minorHAnsi" w:cstheme="minorBidi"/>
          <w:b w:val="0"/>
          <w:bCs w:val="0"/>
          <w:color w:val="auto"/>
          <w:sz w:val="21"/>
          <w:szCs w:val="22"/>
        </w:rPr>
      </w:pPr>
    </w:p>
    <w:p w14:paraId="1B424B20" w14:textId="77777777" w:rsidR="00896BC5" w:rsidRDefault="00896BC5" w:rsidP="00BC6982">
      <w:pPr>
        <w:pStyle w:val="LFTHeading3"/>
      </w:pPr>
    </w:p>
    <w:p w14:paraId="1A1B865A" w14:textId="77777777" w:rsidR="001F046A" w:rsidRPr="00D91C6D" w:rsidRDefault="00BC6982" w:rsidP="00BC6982">
      <w:pPr>
        <w:pStyle w:val="LFTHeading3"/>
      </w:pPr>
      <w:r>
        <w:lastRenderedPageBreak/>
        <w:t xml:space="preserve">2.6.2 </w:t>
      </w:r>
      <w:r w:rsidR="001F046A" w:rsidRPr="00D91C6D">
        <w:t>Why is Karst Geology a Concern?</w:t>
      </w:r>
    </w:p>
    <w:p w14:paraId="2CFDEA9C" w14:textId="086D7040" w:rsidR="001F046A" w:rsidRDefault="006A66D4" w:rsidP="00BC6982">
      <w:pPr>
        <w:pStyle w:val="LFTBody"/>
      </w:pPr>
      <w:r>
        <w:t>I</w:t>
      </w:r>
      <w:r w:rsidR="001F046A" w:rsidRPr="002D216D">
        <w:t>n</w:t>
      </w:r>
      <w:r w:rsidR="00143357">
        <w:t>filtration BMPs in</w:t>
      </w:r>
      <w:r w:rsidR="001F046A" w:rsidRPr="002D216D">
        <w:t xml:space="preserve"> karst settings</w:t>
      </w:r>
      <w:r w:rsidR="00143357">
        <w:t xml:space="preserve"> have the potential of creating </w:t>
      </w:r>
      <w:r w:rsidR="001F046A" w:rsidRPr="002D216D">
        <w:t xml:space="preserve"> </w:t>
      </w:r>
      <w:r>
        <w:t>sinkholes as a result of</w:t>
      </w:r>
      <w:r w:rsidR="001F046A">
        <w:t xml:space="preserve"> the additional weight of water in a structural BMP (termed</w:t>
      </w:r>
      <w:r w:rsidR="001F046A" w:rsidRPr="002D216D">
        <w:t xml:space="preserve"> hydraulic head</w:t>
      </w:r>
      <w:r w:rsidR="001F046A">
        <w:t>)</w:t>
      </w:r>
      <w:r w:rsidR="00FB43F3">
        <w:t xml:space="preserve"> </w:t>
      </w:r>
      <w:r w:rsidR="00FB43F3" w:rsidRPr="002D216D">
        <w:t>and</w:t>
      </w:r>
      <w:r w:rsidR="001F046A" w:rsidRPr="002D216D">
        <w:t xml:space="preserve">/or </w:t>
      </w:r>
      <w:r w:rsidR="001F046A">
        <w:t xml:space="preserve">water </w:t>
      </w:r>
      <w:r w:rsidR="00143357">
        <w:t>infiltrated from the BMP</w:t>
      </w:r>
      <w:r w:rsidR="001F046A">
        <w:t xml:space="preserve"> that can dissolve the</w:t>
      </w:r>
      <w:r w:rsidR="001F046A" w:rsidRPr="002D216D">
        <w:t xml:space="preserve"> carbonate rock (e.g., limestone)</w:t>
      </w:r>
      <w:r w:rsidR="00217E18">
        <w:t xml:space="preserve">. </w:t>
      </w:r>
      <w:r w:rsidR="001F046A">
        <w:t>These conditions can lead to</w:t>
      </w:r>
      <w:r w:rsidR="001F046A" w:rsidRPr="002D216D">
        <w:t xml:space="preserve"> </w:t>
      </w:r>
      <w:r w:rsidR="00B26137">
        <w:t xml:space="preserve">the </w:t>
      </w:r>
      <w:r w:rsidR="001F046A" w:rsidRPr="002D216D">
        <w:t>erosion of bedrock (</w:t>
      </w:r>
      <w:r w:rsidR="001F046A" w:rsidRPr="002D216D">
        <w:rPr>
          <w:b/>
        </w:rPr>
        <w:t xml:space="preserve">Figures </w:t>
      </w:r>
      <w:r w:rsidR="00BC6982">
        <w:rPr>
          <w:b/>
        </w:rPr>
        <w:t>2.</w:t>
      </w:r>
      <w:r w:rsidR="00B26137">
        <w:rPr>
          <w:b/>
        </w:rPr>
        <w:t>6</w:t>
      </w:r>
      <w:r w:rsidR="001F046A" w:rsidRPr="002D216D">
        <w:t xml:space="preserve"> and </w:t>
      </w:r>
      <w:r w:rsidR="00FB43F3" w:rsidRPr="00FB43F3">
        <w:rPr>
          <w:b/>
        </w:rPr>
        <w:t>2</w:t>
      </w:r>
      <w:r w:rsidR="00BC6982">
        <w:rPr>
          <w:b/>
        </w:rPr>
        <w:t>.</w:t>
      </w:r>
      <w:r w:rsidR="00B26137">
        <w:rPr>
          <w:b/>
        </w:rPr>
        <w:t>7</w:t>
      </w:r>
      <w:r w:rsidR="00FB43F3" w:rsidRPr="002D216D">
        <w:t>) underneath</w:t>
      </w:r>
      <w:r w:rsidR="001F046A" w:rsidRPr="002D216D">
        <w:t xml:space="preserve"> or adjacent to </w:t>
      </w:r>
      <w:r w:rsidR="001F046A">
        <w:t xml:space="preserve">a </w:t>
      </w:r>
      <w:r w:rsidR="001F046A" w:rsidRPr="002D216D">
        <w:t>BMP.</w:t>
      </w:r>
      <w:r w:rsidR="00E160EA">
        <w:t xml:space="preserve"> In addition, the pollutants being carried by the stormwater runoff can pass </w:t>
      </w:r>
      <w:r w:rsidR="00EA1E9B">
        <w:t>rapidly through the subsurface into the groundwater, creating a greater risk of groundwater contamination than is found in other soil types.</w:t>
      </w:r>
      <w:r w:rsidR="001F046A" w:rsidRPr="002D216D">
        <w:t xml:space="preserve"> </w:t>
      </w:r>
      <w:r w:rsidR="001F046A" w:rsidRPr="002D216D">
        <w:rPr>
          <w:b/>
        </w:rPr>
        <w:t>Where karst conditions exist, there are no prescriptive rules or universally accepted management approaches because the</w:t>
      </w:r>
      <w:r w:rsidR="004A0E44">
        <w:rPr>
          <w:b/>
        </w:rPr>
        <w:t xml:space="preserve"> </w:t>
      </w:r>
      <w:r w:rsidR="002516EC">
        <w:rPr>
          <w:b/>
        </w:rPr>
        <w:t>subsurface</w:t>
      </w:r>
      <w:r w:rsidR="00BB7E0E">
        <w:rPr>
          <w:b/>
        </w:rPr>
        <w:t xml:space="preserve"> conditions and subsurface drainage pattern</w:t>
      </w:r>
      <w:r w:rsidR="001F046A" w:rsidRPr="002D216D">
        <w:rPr>
          <w:b/>
        </w:rPr>
        <w:t xml:space="preserve"> variability intrinsic to karst </w:t>
      </w:r>
      <w:r w:rsidR="001F046A">
        <w:rPr>
          <w:b/>
        </w:rPr>
        <w:t>geology</w:t>
      </w:r>
      <w:r w:rsidR="001F046A" w:rsidRPr="002D216D">
        <w:rPr>
          <w:b/>
        </w:rPr>
        <w:t>.</w:t>
      </w:r>
      <w:r w:rsidR="001F046A" w:rsidRPr="002D216D">
        <w:t xml:space="preserve"> </w:t>
      </w:r>
    </w:p>
    <w:p w14:paraId="5DD1F381" w14:textId="466C7D3C" w:rsidR="001C5922" w:rsidRDefault="001C5922" w:rsidP="00BC6982">
      <w:pPr>
        <w:pStyle w:val="LFTBody"/>
      </w:pPr>
      <w:r>
        <w:rPr>
          <w:noProof/>
          <w:lang w:bidi="ar-SA"/>
        </w:rPr>
        <w:drawing>
          <wp:inline distT="0" distB="0" distL="0" distR="0" wp14:anchorId="0F63D363" wp14:editId="1A479003">
            <wp:extent cx="2857500" cy="2141220"/>
            <wp:effectExtent l="0" t="0" r="0" b="0"/>
            <wp:docPr id="16" name="Picture 16" descr="pond water disappears in karst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nd water disappears in karst sett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4B0D3ED6" w14:textId="52A9FEA1" w:rsidR="001C5922" w:rsidRPr="00B26137" w:rsidRDefault="001C5922" w:rsidP="00BC6982">
      <w:pPr>
        <w:pStyle w:val="LFTBody"/>
        <w:rPr>
          <w:rFonts w:asciiTheme="majorHAnsi" w:hAnsiTheme="majorHAnsi"/>
        </w:rPr>
      </w:pPr>
      <w:r w:rsidRPr="00B26137">
        <w:rPr>
          <w:rFonts w:asciiTheme="majorHAnsi" w:hAnsiTheme="majorHAnsi"/>
          <w:b/>
        </w:rPr>
        <w:t>Figure 2.</w:t>
      </w:r>
      <w:r w:rsidR="00B26137" w:rsidRPr="00B26137">
        <w:rPr>
          <w:rFonts w:asciiTheme="majorHAnsi" w:hAnsiTheme="majorHAnsi"/>
          <w:b/>
        </w:rPr>
        <w:t>6</w:t>
      </w:r>
      <w:r w:rsidRPr="00B26137">
        <w:rPr>
          <w:rFonts w:asciiTheme="majorHAnsi" w:hAnsiTheme="majorHAnsi"/>
        </w:rPr>
        <w:t xml:space="preserve"> </w:t>
      </w:r>
      <w:r w:rsidRPr="00B26137">
        <w:rPr>
          <w:rFonts w:asciiTheme="majorHAnsi" w:hAnsiTheme="majorHAnsi"/>
          <w:b/>
        </w:rPr>
        <w:t>A collapsed karst feature where a stormwater pond previously existed. The site was in Woodbury, Minnesota</w:t>
      </w:r>
      <w:r w:rsidRPr="00B26137">
        <w:rPr>
          <w:rFonts w:asciiTheme="majorHAnsi" w:hAnsiTheme="majorHAnsi"/>
        </w:rPr>
        <w:t xml:space="preserve"> (Source: Mike Trojan, 2013)</w:t>
      </w:r>
    </w:p>
    <w:p w14:paraId="619D80EE" w14:textId="1F6F294E" w:rsidR="001C5922" w:rsidRDefault="001C5922" w:rsidP="00BC6982">
      <w:pPr>
        <w:pStyle w:val="LFTBody"/>
      </w:pPr>
      <w:r>
        <w:rPr>
          <w:noProof/>
          <w:lang w:bidi="ar-SA"/>
        </w:rPr>
        <w:drawing>
          <wp:inline distT="0" distB="0" distL="0" distR="0" wp14:anchorId="4AED5FB6" wp14:editId="2AA88E7D">
            <wp:extent cx="2857500" cy="2141220"/>
            <wp:effectExtent l="0" t="0" r="0" b="0"/>
            <wp:docPr id="17" name="Picture 17" descr="pond water disappears in karst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nd water disappears in karst setti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06904B4A" w14:textId="5F5A9FE9" w:rsidR="001C5922" w:rsidRPr="00B26137" w:rsidRDefault="001C5922" w:rsidP="00BC6982">
      <w:pPr>
        <w:pStyle w:val="LFTBody"/>
        <w:rPr>
          <w:rFonts w:asciiTheme="majorHAnsi" w:hAnsiTheme="majorHAnsi"/>
        </w:rPr>
      </w:pPr>
      <w:r w:rsidRPr="00B26137">
        <w:rPr>
          <w:rFonts w:asciiTheme="majorHAnsi" w:hAnsiTheme="majorHAnsi"/>
          <w:b/>
        </w:rPr>
        <w:t>Figure 2.</w:t>
      </w:r>
      <w:r w:rsidR="00B26137" w:rsidRPr="00B26137">
        <w:rPr>
          <w:rFonts w:asciiTheme="majorHAnsi" w:hAnsiTheme="majorHAnsi"/>
          <w:b/>
        </w:rPr>
        <w:t>7</w:t>
      </w:r>
      <w:r w:rsidRPr="00B26137">
        <w:rPr>
          <w:rFonts w:asciiTheme="majorHAnsi" w:hAnsiTheme="majorHAnsi"/>
          <w:b/>
        </w:rPr>
        <w:t xml:space="preserve"> Woodbury sinkhole collapse looking towards the south </w:t>
      </w:r>
      <w:r w:rsidRPr="00B26137">
        <w:rPr>
          <w:rFonts w:asciiTheme="majorHAnsi" w:hAnsiTheme="majorHAnsi"/>
        </w:rPr>
        <w:t>(Source: Mike Trojan, 2013)</w:t>
      </w:r>
    </w:p>
    <w:p w14:paraId="241E3A31" w14:textId="1CCFB839" w:rsidR="001F046A" w:rsidRDefault="001F046A" w:rsidP="00BC6982">
      <w:pPr>
        <w:pStyle w:val="LFTBody"/>
      </w:pPr>
      <w:r w:rsidRPr="002D216D">
        <w:t xml:space="preserve">In general when underlying karst is known or suspected to be present at the site, stormwater runoff should not be concentrated and discharged into </w:t>
      </w:r>
      <w:r>
        <w:t xml:space="preserve">or near </w:t>
      </w:r>
      <w:r w:rsidRPr="002D216D">
        <w:t>known sinkholes</w:t>
      </w:r>
      <w:r w:rsidR="00BC6982">
        <w:t>.</w:t>
      </w:r>
      <w:r>
        <w:t xml:space="preserve"> Instead, the runoff</w:t>
      </w:r>
      <w:r w:rsidRPr="002D216D">
        <w:t xml:space="preserve"> should be</w:t>
      </w:r>
    </w:p>
    <w:p w14:paraId="36AB2346" w14:textId="6977FBC6" w:rsidR="001F046A" w:rsidRDefault="00143357" w:rsidP="00BC6982">
      <w:pPr>
        <w:pStyle w:val="LFTBullet1"/>
      </w:pPr>
      <w:r>
        <w:t>d</w:t>
      </w:r>
      <w:r w:rsidRPr="002D216D">
        <w:t>ispersed</w:t>
      </w:r>
      <w:r w:rsidR="00B40B8C">
        <w:t>;</w:t>
      </w:r>
    </w:p>
    <w:p w14:paraId="328EF971" w14:textId="3B02C16F" w:rsidR="008C0B46" w:rsidRDefault="008C0B46" w:rsidP="00BC6982">
      <w:pPr>
        <w:pStyle w:val="LFTBullet1"/>
      </w:pPr>
      <w:r>
        <w:lastRenderedPageBreak/>
        <w:t xml:space="preserve">pretreated and then </w:t>
      </w:r>
      <w:r w:rsidR="00143357">
        <w:t xml:space="preserve">infiltrated, only if subsurface investigations </w:t>
      </w:r>
      <w:r>
        <w:t xml:space="preserve">and geotechnical analysis </w:t>
      </w:r>
      <w:r w:rsidR="00143357">
        <w:t xml:space="preserve">confirm </w:t>
      </w:r>
      <w:r>
        <w:t xml:space="preserve">that there are no unstable zones below the BMP; </w:t>
      </w:r>
    </w:p>
    <w:p w14:paraId="5E74F41E" w14:textId="73C38561" w:rsidR="001F046A" w:rsidRDefault="00EA3E26" w:rsidP="008C0B46">
      <w:pPr>
        <w:pStyle w:val="LFTBullet1"/>
      </w:pPr>
      <w:r>
        <w:t>p</w:t>
      </w:r>
      <w:r w:rsidR="008C0B46">
        <w:t>erhaps additional borings and deeper ones to target evaluation of transitional karst zone.  Once ponds are constructed, you could include contingency plans for cases where karst features open up and impact a pond.  Basically, you would conduct geotechnical borings to appropriate depths trying to identify unstable zones, then target those zones for grouting</w:t>
      </w:r>
      <w:r w:rsidR="00896BC5">
        <w:t>;</w:t>
      </w:r>
    </w:p>
    <w:p w14:paraId="47C60BDF" w14:textId="77777777" w:rsidR="001F046A" w:rsidRDefault="001F046A" w:rsidP="00BC6982">
      <w:pPr>
        <w:pStyle w:val="LFTBullet1"/>
      </w:pPr>
      <w:r w:rsidRPr="002D216D">
        <w:t xml:space="preserve">conveyed to a collection and transmission system away from the area via vegetated drainageways. </w:t>
      </w:r>
    </w:p>
    <w:p w14:paraId="13C25636" w14:textId="2EE0D413" w:rsidR="0083392C" w:rsidRDefault="0083392C" w:rsidP="00BC6982">
      <w:pPr>
        <w:pStyle w:val="LFTBody"/>
      </w:pPr>
      <w:r>
        <w:t xml:space="preserve">See a detailed discussion of guidelines </w:t>
      </w:r>
      <w:r w:rsidR="00C33A3C">
        <w:t xml:space="preserve">in </w:t>
      </w:r>
      <w:r w:rsidR="00C33A3C" w:rsidRPr="00C33A3C">
        <w:rPr>
          <w:b/>
        </w:rPr>
        <w:t>Section 2.6.4</w:t>
      </w:r>
      <w:r w:rsidR="00C33A3C">
        <w:t>.</w:t>
      </w:r>
    </w:p>
    <w:p w14:paraId="78996F42" w14:textId="222352D2" w:rsidR="00EA1E9B" w:rsidRPr="00D91C6D" w:rsidRDefault="00EA1E9B" w:rsidP="00EA1E9B">
      <w:pPr>
        <w:pStyle w:val="LFTHeading3"/>
      </w:pPr>
      <w:r>
        <w:t xml:space="preserve">2.6.3 </w:t>
      </w:r>
      <w:r w:rsidRPr="00D91C6D">
        <w:t>How to Investigate for Karst on a Site</w:t>
      </w:r>
    </w:p>
    <w:p w14:paraId="63158A28" w14:textId="65C43BC5" w:rsidR="008C0B46" w:rsidRDefault="002D675E">
      <w:pPr>
        <w:pStyle w:val="LFTBody"/>
      </w:pPr>
      <w:r>
        <w:t xml:space="preserve">Developers, communities, </w:t>
      </w:r>
      <w:r w:rsidR="009E340F">
        <w:t>public</w:t>
      </w:r>
      <w:r>
        <w:t xml:space="preserve"> works agents, and other stormwater managers should conduct site investigations prior to designing and implementing stormwater BPMs in </w:t>
      </w:r>
      <w:r w:rsidR="00EC72CE">
        <w:t>both Active and Transitional Karst areas</w:t>
      </w:r>
      <w:r>
        <w:t xml:space="preserve">. </w:t>
      </w:r>
      <w:r w:rsidR="00EC72CE" w:rsidRPr="00EC72CE">
        <w:t xml:space="preserve">A site with Active Karst has the greatest potential for development of a sinkhole below a BMP and the recommendations contained in this section should be considered for all proposed BMPs.  For Transitional Karst sites, it is HIGHLY RECOMMENDED that the nature of the overlaying soils should be evaluated with respect to the potential for catastrophic failure given the increase in hydrostatic pressure created by a BMP.  </w:t>
      </w:r>
      <w:r>
        <w:t xml:space="preserve">The level of investigation required will depend on the likelihood of </w:t>
      </w:r>
      <w:r w:rsidR="00EC72CE">
        <w:t>karst</w:t>
      </w:r>
      <w:r>
        <w:t xml:space="preserve"> being present and the regulatory requirements in the area.</w:t>
      </w:r>
      <w:r w:rsidR="00C66C31">
        <w:t xml:space="preserve"> </w:t>
      </w:r>
    </w:p>
    <w:p w14:paraId="2B491679" w14:textId="1FACAB16" w:rsidR="002D675E" w:rsidRDefault="00C66C31">
      <w:pPr>
        <w:pStyle w:val="LFTBody"/>
      </w:pPr>
      <w:r>
        <w:t>The</w:t>
      </w:r>
      <w:r w:rsidR="00EA32A3">
        <w:t xml:space="preserve"> purpose of the investigation is to </w:t>
      </w:r>
      <w:r w:rsidR="00BC7A2F">
        <w:t xml:space="preserve">identify subsurface voids, cavities, fractures, or other discontinuities which could pose an environmental concern or a construction hazard to an existing or proposed stormwater management facility. Of special concern are the construction hazards posed by karst geology, the formation of sinkholes, and the possibility of a preferential pathway that would provide a direct route for polluted runoff to enter the regional groundwater system. </w:t>
      </w:r>
      <w:r w:rsidR="002D675E">
        <w:t xml:space="preserve">Because of the complexity inherent to active </w:t>
      </w:r>
      <w:r w:rsidR="00EC72CE">
        <w:t xml:space="preserve">and transitional </w:t>
      </w:r>
      <w:r w:rsidR="002D675E">
        <w:t>karst areas, there is no single set of investigatory guidelines that works for every location. Typically, however</w:t>
      </w:r>
      <w:r w:rsidR="00D83D25">
        <w:t>,</w:t>
      </w:r>
      <w:r w:rsidR="002D675E">
        <w:t xml:space="preserve"> the first step </w:t>
      </w:r>
      <w:r w:rsidR="00E6447B">
        <w:t>is a</w:t>
      </w:r>
      <w:r w:rsidR="002D675E">
        <w:t xml:space="preserve"> preliminary investigation that involves analyzing geological and topographic county maps, and aerial </w:t>
      </w:r>
      <w:r w:rsidR="00AA5DFB">
        <w:t>photography</w:t>
      </w:r>
      <w:r w:rsidR="002D675E">
        <w:t xml:space="preserve"> to </w:t>
      </w:r>
      <w:r w:rsidR="00AA5DFB">
        <w:t>determine if active karst is</w:t>
      </w:r>
      <w:r w:rsidR="00EC72CE">
        <w:t xml:space="preserve"> known to be</w:t>
      </w:r>
      <w:r w:rsidR="00AA5DFB">
        <w:t xml:space="preserve"> present. Included in the preliminary investi</w:t>
      </w:r>
      <w:r w:rsidR="00EA32A3">
        <w:t xml:space="preserve">gation should be a site visit to perform a visual observation </w:t>
      </w:r>
      <w:r w:rsidR="00E6447B">
        <w:t>for</w:t>
      </w:r>
      <w:r w:rsidR="00EA32A3">
        <w:t xml:space="preserve"> karst features such as </w:t>
      </w:r>
      <w:r w:rsidR="00BC7A2F">
        <w:t>sinkholes</w:t>
      </w:r>
      <w:r w:rsidR="00EA32A3">
        <w:t>.</w:t>
      </w:r>
      <w:r w:rsidR="00BC7A2F">
        <w:t xml:space="preserve"> Results of the investigation should be reported to </w:t>
      </w:r>
      <w:r w:rsidR="00BC7A2F" w:rsidRPr="00D3030E">
        <w:t>the appropriate agency, including the Department of Natural Resources (DNR), Minnesota Geological Survey (MGS</w:t>
      </w:r>
      <w:r w:rsidR="00E6447B">
        <w:t>)</w:t>
      </w:r>
      <w:r w:rsidR="00BC7A2F" w:rsidRPr="00D3030E">
        <w:t>, and local agencies (such as the city, township or county). These known and discovered karst features should be surveyed for specific location and permanently recorded on the property deed.</w:t>
      </w:r>
    </w:p>
    <w:p w14:paraId="1D32594B" w14:textId="0F983951" w:rsidR="00EA1E9B" w:rsidRDefault="00BC7A2F">
      <w:pPr>
        <w:pStyle w:val="LFTBody"/>
      </w:pPr>
      <w:r>
        <w:t xml:space="preserve">If it </w:t>
      </w:r>
      <w:r w:rsidR="00E6447B">
        <w:t xml:space="preserve">is </w:t>
      </w:r>
      <w:r>
        <w:t>determined that active karst is present, a detailed site investigation, including a subsurface materials investigation should be conducted. The design of any geotechnical investigation should reflect the size and complexity of the proposed project, as well as the local knowledge of the threat posed by the karstic geology.</w:t>
      </w:r>
      <w:r w:rsidR="00C66C31">
        <w:t xml:space="preserve"> The geotechnical investigation should first assess the subsurface heterogeneity (variability). With this information in-hand, borings or observation wells can then be accurately installed to obtain vertical data surrounding or within karst features</w:t>
      </w:r>
      <w:r w:rsidR="00EC72CE">
        <w:t xml:space="preserve"> or within areas of instability that have the potential for development of karst</w:t>
      </w:r>
      <w:r w:rsidR="00C66C31">
        <w:t>. The vertical data should be used to determine the nature and thickness of the subsurface materials and needs to include information</w:t>
      </w:r>
      <w:r w:rsidR="00E6447B">
        <w:t xml:space="preserve"> involving</w:t>
      </w:r>
      <w:r w:rsidR="00C66C31">
        <w:t xml:space="preserve"> depth to the bedrock and depth to the groundwater table.</w:t>
      </w:r>
      <w:r w:rsidR="0001450A">
        <w:t xml:space="preserve"> The investigation will be an iterative process and should be expanded until the desired detailed knowledge of the site is obtained and fully understood (Karst Working Group, 2009).</w:t>
      </w:r>
      <w:r w:rsidR="00EA1E9B" w:rsidRPr="00D040CD">
        <w:t xml:space="preserve"> </w:t>
      </w:r>
      <w:r w:rsidR="00EA1E9B" w:rsidRPr="004524E2">
        <w:rPr>
          <w:b/>
        </w:rPr>
        <w:t>Table 2.</w:t>
      </w:r>
      <w:r w:rsidR="00E6447B">
        <w:rPr>
          <w:b/>
        </w:rPr>
        <w:t>2</w:t>
      </w:r>
      <w:r w:rsidR="00E6447B" w:rsidRPr="00D040CD">
        <w:t xml:space="preserve"> </w:t>
      </w:r>
      <w:r w:rsidR="00EA1E9B" w:rsidRPr="00D040CD">
        <w:t>describe</w:t>
      </w:r>
      <w:r w:rsidR="00EA1E9B">
        <w:t>s</w:t>
      </w:r>
      <w:r w:rsidR="00EA1E9B" w:rsidRPr="00D040CD">
        <w:t xml:space="preserve"> general guidance that may be </w:t>
      </w:r>
      <w:r w:rsidR="00EA1E9B" w:rsidRPr="00D040CD">
        <w:lastRenderedPageBreak/>
        <w:t>used depending upon the local situation and information deemed as needed.</w:t>
      </w:r>
      <w:r w:rsidR="00EA1E9B">
        <w:t xml:space="preserve"> Information in the table should not be interpreted as all-inclusive.</w:t>
      </w:r>
    </w:p>
    <w:p w14:paraId="366B5961" w14:textId="513F3428" w:rsidR="00EA1E9B" w:rsidRDefault="00FD1F66" w:rsidP="00BC6982">
      <w:pPr>
        <w:pStyle w:val="LFTBody"/>
      </w:pPr>
      <w:r>
        <w:t xml:space="preserve">Additional information regarding site investigations in karst areas can be found in </w:t>
      </w:r>
      <w:hyperlink r:id="rId64" w:history="1">
        <w:r w:rsidRPr="00FD1F66">
          <w:rPr>
            <w:rStyle w:val="Hyperlink"/>
          </w:rPr>
          <w:t>Appendix B</w:t>
        </w:r>
      </w:hyperlink>
      <w:r>
        <w:t xml:space="preserve"> of the </w:t>
      </w:r>
      <w:hyperlink r:id="rId65" w:history="1">
        <w:r w:rsidRPr="00FD1F66">
          <w:rPr>
            <w:rStyle w:val="Hyperlink"/>
          </w:rPr>
          <w:t>Tennessee Permanent Stormwater Management and Design Guidance Manual</w:t>
        </w:r>
      </w:hyperlink>
      <w:r w:rsidR="00D83D25">
        <w:t xml:space="preserve"> (Tennessee Department of Environment and Conservation, 2014)</w:t>
      </w:r>
      <w:r>
        <w:t xml:space="preserve">. </w:t>
      </w:r>
      <w:r w:rsidR="00D83D25">
        <w:t>This manual provides a chart which will guide designers through the investigative process and will help designers determine if any special analysis is required.</w:t>
      </w:r>
    </w:p>
    <w:p w14:paraId="307D1C40" w14:textId="5DDBA108" w:rsidR="001F046A" w:rsidRPr="00D91C6D" w:rsidRDefault="00BC6982" w:rsidP="00BC6982">
      <w:pPr>
        <w:pStyle w:val="LFTHeading3"/>
      </w:pPr>
      <w:bookmarkStart w:id="15" w:name="_Toc395180874"/>
      <w:r>
        <w:t>2.6.</w:t>
      </w:r>
      <w:r w:rsidR="00EA1E9B">
        <w:t xml:space="preserve">4 </w:t>
      </w:r>
      <w:r w:rsidR="001F046A" w:rsidRPr="00D91C6D">
        <w:t>What are General Stormwater Management Guidelines for Karst Areas</w:t>
      </w:r>
      <w:bookmarkEnd w:id="15"/>
      <w:r w:rsidR="00E54842">
        <w:t>?</w:t>
      </w:r>
    </w:p>
    <w:p w14:paraId="4AB1A089" w14:textId="7C2904C6" w:rsidR="009B3C68" w:rsidRDefault="009B3C68" w:rsidP="009B3C68">
      <w:pPr>
        <w:pStyle w:val="LFTBody"/>
      </w:pPr>
      <w:r>
        <w:t xml:space="preserve">REQUIRED – </w:t>
      </w:r>
      <w:r w:rsidR="00720135">
        <w:t xml:space="preserve">The </w:t>
      </w:r>
      <w:hyperlink r:id="rId66" w:anchor="III.D._PERMANENT_STORMWATER_MANAGEMENT_SYSTEM" w:history="1">
        <w:r w:rsidR="00720135" w:rsidRPr="00720135">
          <w:rPr>
            <w:rStyle w:val="Hyperlink"/>
          </w:rPr>
          <w:t>Construction Stormwater Permit</w:t>
        </w:r>
      </w:hyperlink>
      <w:r w:rsidR="00720135">
        <w:t xml:space="preserve"> prohibits </w:t>
      </w:r>
      <w:r>
        <w:t xml:space="preserve">infiltration </w:t>
      </w:r>
      <w:r w:rsidR="00720135">
        <w:t xml:space="preserve">of stormwater runoff </w:t>
      </w:r>
      <w:r w:rsidR="001A0B2D">
        <w:t>“</w:t>
      </w:r>
      <w:r>
        <w:t>within 1,000 feet up-gradient or 100 feet down-gradient of active karst features unless allowed by a local unit of government with a current MS4 permit</w:t>
      </w:r>
      <w:r w:rsidR="001A0B2D">
        <w:t>”</w:t>
      </w:r>
      <w:r w:rsidR="001339F5">
        <w:t>.</w:t>
      </w:r>
      <w:r w:rsidR="00D32B1E">
        <w:t xml:space="preserve"> </w:t>
      </w:r>
      <w:r w:rsidR="007C7AE4">
        <w:t xml:space="preserve"> These guidelines provide stormwater management procedures for determining if a sites contains or has the potential for developing a karst feature.</w:t>
      </w:r>
    </w:p>
    <w:p w14:paraId="1B688715" w14:textId="63C556E9" w:rsidR="007D7BD8" w:rsidRDefault="001F046A" w:rsidP="00BC6982">
      <w:pPr>
        <w:pStyle w:val="LFTBody"/>
      </w:pPr>
      <w:r w:rsidRPr="002D216D">
        <w:t xml:space="preserve">In karst settings </w:t>
      </w:r>
      <w:r w:rsidR="0083392C">
        <w:t xml:space="preserve">there are special considerations and potentially </w:t>
      </w:r>
      <w:r w:rsidRPr="002D216D">
        <w:t xml:space="preserve">additional constraints </w:t>
      </w:r>
      <w:r w:rsidR="0083392C">
        <w:t>needed</w:t>
      </w:r>
      <w:r w:rsidRPr="002D216D">
        <w:t xml:space="preserve"> prior to implementing most structural BMPs. </w:t>
      </w:r>
      <w:r w:rsidR="000D6087">
        <w:t>A growing emphasis is being placed on the implementation of strategies that preserve the pre-development hydrology and maintain critical vegetated areas</w:t>
      </w:r>
      <w:r w:rsidR="00DB6A8B">
        <w:t xml:space="preserve">. This is based on the idea that, in a pre-development setting, the runoff was spread across the landscape </w:t>
      </w:r>
      <w:r w:rsidR="00D00A1A">
        <w:t>rather than directed to a certain area, which often results when there is a high concentration of pervious surfaces. When stormwater is concentrated in one area, it can lead to a more rapid dissolution of the underlying rock</w:t>
      </w:r>
      <w:r w:rsidR="000D6087">
        <w:t xml:space="preserve"> (</w:t>
      </w:r>
      <w:hyperlink r:id="rId67" w:history="1">
        <w:r w:rsidR="000D6087" w:rsidRPr="00BC6982">
          <w:rPr>
            <w:rStyle w:val="Hyperlink"/>
          </w:rPr>
          <w:t>American Rivers, n.d</w:t>
        </w:r>
      </w:hyperlink>
      <w:r w:rsidR="000D6087" w:rsidRPr="00BC6982">
        <w:rPr>
          <w:rStyle w:val="Hyperlink"/>
        </w:rPr>
        <w:t>.</w:t>
      </w:r>
      <w:r w:rsidR="000D6087">
        <w:t>)</w:t>
      </w:r>
      <w:r w:rsidR="00B40B8C">
        <w:t>.</w:t>
      </w:r>
      <w:r w:rsidR="007D7BD8">
        <w:t xml:space="preserve"> </w:t>
      </w:r>
    </w:p>
    <w:p w14:paraId="340AAE61" w14:textId="10B7E12B" w:rsidR="001F046A" w:rsidRPr="00D3030E" w:rsidRDefault="007C7AE4" w:rsidP="00BC6982">
      <w:pPr>
        <w:pStyle w:val="LFTBody"/>
      </w:pPr>
      <w:r>
        <w:t xml:space="preserve">The uncertainty related to the actual presence of karst, the presence of unstable materials that have the potential for development of karst, and the water movement through </w:t>
      </w:r>
      <w:r w:rsidRPr="00D3030E">
        <w:t>karst terrain dictate</w:t>
      </w:r>
      <w:r>
        <w:t>s</w:t>
      </w:r>
      <w:r w:rsidRPr="00D3030E">
        <w:t xml:space="preserve"> the level of additional </w:t>
      </w:r>
      <w:r>
        <w:t xml:space="preserve">field </w:t>
      </w:r>
      <w:r w:rsidRPr="00D3030E">
        <w:t>information to be collected before proceeding with BMP design and construction</w:t>
      </w:r>
      <w:r>
        <w:t xml:space="preserve"> in Active Karst and Transitional Karst classifications.  </w:t>
      </w:r>
      <w:r w:rsidR="001F046A" w:rsidRPr="002D216D">
        <w:t xml:space="preserve">The following </w:t>
      </w:r>
      <w:r w:rsidR="007D7BD8">
        <w:t xml:space="preserve">guidelines are based on </w:t>
      </w:r>
      <w:r w:rsidR="001F046A" w:rsidRPr="002D216D">
        <w:t>adaptations from a handful of communities (e.g., Carroll County, MD (</w:t>
      </w:r>
      <w:r w:rsidR="00EA3E26">
        <w:t>2004</w:t>
      </w:r>
      <w:r w:rsidR="001F046A" w:rsidRPr="002D216D">
        <w:t>a and b); St. Johns River Water Management District, FL (201</w:t>
      </w:r>
      <w:r w:rsidR="00EA3E26">
        <w:t>0</w:t>
      </w:r>
      <w:r w:rsidR="001F046A" w:rsidRPr="002D216D">
        <w:t>); Jefferson County, WV (Laughland 2003)</w:t>
      </w:r>
      <w:r w:rsidR="000047BB">
        <w:t xml:space="preserve">; </w:t>
      </w:r>
      <w:hyperlink r:id="rId68" w:history="1">
        <w:r w:rsidR="000047BB" w:rsidRPr="000047BB">
          <w:rPr>
            <w:rStyle w:val="Hyperlink"/>
          </w:rPr>
          <w:t>Tennessee Permanent Stormwater Management and Design Guidance Manual – Appendix B</w:t>
        </w:r>
      </w:hyperlink>
      <w:r w:rsidR="000047BB">
        <w:t xml:space="preserve"> (2014)</w:t>
      </w:r>
      <w:r w:rsidR="00A716FC">
        <w:t xml:space="preserve">; </w:t>
      </w:r>
      <w:r w:rsidR="000D6087">
        <w:t>and other documents (</w:t>
      </w:r>
      <w:hyperlink r:id="rId69" w:history="1">
        <w:r w:rsidR="00A716FC" w:rsidRPr="00BC6982">
          <w:rPr>
            <w:rStyle w:val="Hyperlink"/>
          </w:rPr>
          <w:t>Chesapeake Stormwater Network</w:t>
        </w:r>
      </w:hyperlink>
      <w:r w:rsidR="007E2F1D">
        <w:t xml:space="preserve"> [Karst Working Group, 2009</w:t>
      </w:r>
      <w:r w:rsidR="007E2F1D" w:rsidRPr="007B7C9C">
        <w:t>];</w:t>
      </w:r>
      <w:r w:rsidR="00A716FC" w:rsidRPr="007B7C9C">
        <w:t xml:space="preserve"> </w:t>
      </w:r>
      <w:hyperlink r:id="rId70" w:history="1">
        <w:r w:rsidR="00A716FC" w:rsidRPr="007B7C9C">
          <w:rPr>
            <w:rStyle w:val="Hyperlink"/>
          </w:rPr>
          <w:t xml:space="preserve">West Virginia Stormwater </w:t>
        </w:r>
        <w:r w:rsidR="007E2F1D" w:rsidRPr="007B7C9C">
          <w:rPr>
            <w:rStyle w:val="Hyperlink"/>
          </w:rPr>
          <w:t>Management &amp; Design Guidance Manual</w:t>
        </w:r>
      </w:hyperlink>
      <w:r w:rsidR="007E2F1D">
        <w:t xml:space="preserve"> [asdfa]</w:t>
      </w:r>
      <w:r w:rsidR="000D6087">
        <w:t>;</w:t>
      </w:r>
      <w:r w:rsidR="007E2F1D">
        <w:t xml:space="preserve"> </w:t>
      </w:r>
      <w:hyperlink r:id="rId71" w:history="1">
        <w:r w:rsidR="007E2F1D" w:rsidRPr="007E2F1D">
          <w:rPr>
            <w:rStyle w:val="Hyperlink"/>
          </w:rPr>
          <w:t>Infiltration and Karst: Design Considerations for Success</w:t>
        </w:r>
      </w:hyperlink>
      <w:r w:rsidR="007E2F1D">
        <w:t xml:space="preserve"> [Adams, M. Powerpoint, N.D.])</w:t>
      </w:r>
      <w:r w:rsidR="001F046A" w:rsidRPr="00D3030E">
        <w:t xml:space="preserve">. </w:t>
      </w:r>
    </w:p>
    <w:p w14:paraId="66C25483" w14:textId="2E99D832" w:rsidR="00AF0C02" w:rsidRDefault="00AF0C02" w:rsidP="00BC6982">
      <w:pPr>
        <w:pStyle w:val="LFTBullet1"/>
      </w:pPr>
      <w:r w:rsidRPr="00AF0C02">
        <w:rPr>
          <w:b/>
        </w:rPr>
        <w:t>Conduct a thorough geotechnical investigation in areas with suspected or documented active karst</w:t>
      </w:r>
      <w:r>
        <w:t>. Karst geology can change rapidly over very short distances so additional soil borings may be required in comparison to geotechnical investigations for shallow groundwater or bedrock.</w:t>
      </w:r>
    </w:p>
    <w:p w14:paraId="051B4617" w14:textId="0B91ED24" w:rsidR="006D0244" w:rsidRPr="006D0244" w:rsidRDefault="006D0244" w:rsidP="006D0244">
      <w:pPr>
        <w:pStyle w:val="LFTBullet1"/>
      </w:pPr>
      <w:r w:rsidRPr="006D0244">
        <w:rPr>
          <w:b/>
        </w:rPr>
        <w:t>Investigate non-infiltration BMPs on sites subject to the requirements of the CGP, where the infiltration BMP is “within 1,000 feet up-gradient or 100 feet down-gradient of active karst features unless allowed by a local unit of government with a current MS4 permit</w:t>
      </w:r>
      <w:r w:rsidRPr="006D0244">
        <w:t>”.   For purpose of these guidelines, active karst features are defined as identified karst or identified unstable subsurface materials that have the potential for development of karst.</w:t>
      </w:r>
    </w:p>
    <w:p w14:paraId="0CA0FD5D" w14:textId="77777777" w:rsidR="006E57E1" w:rsidRPr="00D3030E" w:rsidRDefault="006E57E1" w:rsidP="006E57E1">
      <w:pPr>
        <w:pStyle w:val="LFTBullet1"/>
      </w:pPr>
      <w:r>
        <w:rPr>
          <w:b/>
        </w:rPr>
        <w:t xml:space="preserve">Preserve the maximum length of natural swales as possible </w:t>
      </w:r>
      <w:r w:rsidRPr="00D3030E">
        <w:t>at the site to increase the infiltration and accommodate flows from extreme storms</w:t>
      </w:r>
      <w:r>
        <w:t>.</w:t>
      </w:r>
    </w:p>
    <w:p w14:paraId="21FED0DA" w14:textId="41E28BAB" w:rsidR="009031D1" w:rsidRDefault="0018453C" w:rsidP="00BC6982">
      <w:pPr>
        <w:pStyle w:val="LFTBullet1"/>
      </w:pPr>
      <w:r>
        <w:rPr>
          <w:b/>
        </w:rPr>
        <w:t>Minimize the area of impervious surfaces at the site</w:t>
      </w:r>
      <w:r w:rsidR="003B171A" w:rsidRPr="00AF0C02">
        <w:t>.</w:t>
      </w:r>
      <w:r w:rsidR="003B171A">
        <w:t xml:space="preserve"> This will reduce the volume and velocity of the stormwater runoff.</w:t>
      </w:r>
      <w:r w:rsidR="006E57E1">
        <w:t xml:space="preserve"> </w:t>
      </w:r>
      <w:r w:rsidR="009031D1">
        <w:rPr>
          <w:b/>
        </w:rPr>
        <w:t xml:space="preserve">Consult with a </w:t>
      </w:r>
      <w:r w:rsidR="006E57E1">
        <w:rPr>
          <w:b/>
        </w:rPr>
        <w:t>geotechnical engineer prior</w:t>
      </w:r>
      <w:r w:rsidR="009031D1">
        <w:rPr>
          <w:b/>
        </w:rPr>
        <w:t xml:space="preserve"> to the design </w:t>
      </w:r>
      <w:r w:rsidR="009031D1">
        <w:rPr>
          <w:b/>
        </w:rPr>
        <w:lastRenderedPageBreak/>
        <w:t xml:space="preserve">and </w:t>
      </w:r>
      <w:r w:rsidR="006E57E1">
        <w:rPr>
          <w:b/>
        </w:rPr>
        <w:t xml:space="preserve">construction </w:t>
      </w:r>
      <w:r w:rsidR="009031D1">
        <w:rPr>
          <w:b/>
        </w:rPr>
        <w:t xml:space="preserve">of a BMP. </w:t>
      </w:r>
      <w:r w:rsidR="009031D1">
        <w:t>The effect of stormwater BMPs in a karst area is complex and hard to predict. Consulting with a professional can reduce the risks of geological hazards and groundwater contamination.</w:t>
      </w:r>
    </w:p>
    <w:p w14:paraId="58C2163F" w14:textId="1EE40CBF" w:rsidR="00916A15" w:rsidRPr="00D3030E" w:rsidRDefault="00916A15" w:rsidP="006E57E1">
      <w:pPr>
        <w:pStyle w:val="LFTBullet1"/>
      </w:pPr>
      <w:r>
        <w:rPr>
          <w:b/>
        </w:rPr>
        <w:t>Capture the runoff in a series of small runoff reduction practices where sheet flow is present.</w:t>
      </w:r>
      <w:r>
        <w:t xml:space="preserve"> This technique will help keep the stormwater runoff from becoming channelized and will disperse the flow over a broad area. </w:t>
      </w:r>
      <w:r w:rsidR="006E57E1" w:rsidRPr="00D3030E">
        <w:t>Practices such as swales, bioretention</w:t>
      </w:r>
      <w:r w:rsidR="006E57E1">
        <w:t xml:space="preserve"> with underdrains</w:t>
      </w:r>
      <w:r w:rsidR="006E57E1" w:rsidRPr="00D3030E">
        <w:t xml:space="preserve">, </w:t>
      </w:r>
      <w:r w:rsidR="006E57E1">
        <w:t>media filters, and vegetated filters shoul</w:t>
      </w:r>
      <w:r w:rsidR="006E57E1" w:rsidRPr="00D3030E">
        <w:t>d be considered first at a site. However, not all sites lend themselves to this type of management approach and could require use of the active karst region for proper management. Under these conditions, adequate precautions should be taken to assure that</w:t>
      </w:r>
      <w:r w:rsidR="006E57E1">
        <w:t xml:space="preserve"> runoff water is adequately pretreated.</w:t>
      </w:r>
    </w:p>
    <w:p w14:paraId="0705A1AF" w14:textId="4FCAEFF0" w:rsidR="0001450A" w:rsidRPr="00D3030E" w:rsidRDefault="0018453C" w:rsidP="0001450A">
      <w:pPr>
        <w:pStyle w:val="LFTBullet1"/>
      </w:pPr>
      <w:r>
        <w:rPr>
          <w:b/>
        </w:rPr>
        <w:t xml:space="preserve">Design </w:t>
      </w:r>
      <w:r w:rsidR="0001450A" w:rsidRPr="005C7D54">
        <w:rPr>
          <w:b/>
        </w:rPr>
        <w:t xml:space="preserve">BMPs </w:t>
      </w:r>
      <w:r>
        <w:rPr>
          <w:b/>
        </w:rPr>
        <w:t>to</w:t>
      </w:r>
      <w:r w:rsidRPr="005C7D54">
        <w:rPr>
          <w:b/>
        </w:rPr>
        <w:t xml:space="preserve"> </w:t>
      </w:r>
      <w:r w:rsidR="0001450A" w:rsidRPr="005C7D54">
        <w:rPr>
          <w:b/>
        </w:rPr>
        <w:t>be off-line such that volumes of runoff greater than the capacity of the BMP are bypassed around the BMP</w:t>
      </w:r>
      <w:r w:rsidR="00217E18">
        <w:t xml:space="preserve">. </w:t>
      </w:r>
      <w:r w:rsidR="0001450A" w:rsidRPr="00D3030E">
        <w:t xml:space="preserve">This approach will limit the volume through the BMP to a quantity that is manageable in the karst. </w:t>
      </w:r>
    </w:p>
    <w:p w14:paraId="52364519" w14:textId="7970B86C" w:rsidR="0001450A" w:rsidRDefault="0018453C">
      <w:pPr>
        <w:pStyle w:val="LFTBullet1"/>
      </w:pPr>
      <w:r>
        <w:rPr>
          <w:b/>
        </w:rPr>
        <w:t xml:space="preserve">Install multiple small BMPs instead of a </w:t>
      </w:r>
      <w:r w:rsidR="0001450A" w:rsidRPr="005E4717">
        <w:rPr>
          <w:b/>
        </w:rPr>
        <w:t xml:space="preserve">centralized </w:t>
      </w:r>
      <w:r>
        <w:rPr>
          <w:b/>
        </w:rPr>
        <w:t>BMP</w:t>
      </w:r>
      <w:r w:rsidR="0001450A">
        <w:t xml:space="preserve">. Centralized </w:t>
      </w:r>
      <w:r>
        <w:t>BMPs</w:t>
      </w:r>
      <w:r w:rsidR="0001450A">
        <w:t xml:space="preserve"> are</w:t>
      </w:r>
      <w:r w:rsidR="0001450A" w:rsidRPr="00D3030E">
        <w:t xml:space="preserve"> defined as any practice that treats runoff from a contributing drainage area greater than 20,000 square feet, and/or has a surface ponding depth greater than 3 feet</w:t>
      </w:r>
      <w:r w:rsidR="0001450A">
        <w:t xml:space="preserve">. </w:t>
      </w:r>
      <w:r>
        <w:t>Centralized</w:t>
      </w:r>
      <w:r w:rsidRPr="00D3030E">
        <w:t xml:space="preserve"> </w:t>
      </w:r>
      <w:r w:rsidR="0001450A" w:rsidRPr="00D3030E">
        <w:t xml:space="preserve">practices </w:t>
      </w:r>
      <w:r>
        <w:t xml:space="preserve">have the greatest potential for karst- related failure, and will </w:t>
      </w:r>
      <w:r w:rsidR="0001450A" w:rsidRPr="00D3030E">
        <w:t>require costly geotechnical investigati</w:t>
      </w:r>
      <w:r w:rsidR="0001450A">
        <w:t>ons and a more complex design.</w:t>
      </w:r>
    </w:p>
    <w:p w14:paraId="75852574" w14:textId="7BF13A57" w:rsidR="001F046A" w:rsidRDefault="001F046A" w:rsidP="00BC6982">
      <w:pPr>
        <w:pStyle w:val="LFTBullet1"/>
      </w:pPr>
      <w:r w:rsidRPr="005E4717">
        <w:rPr>
          <w:b/>
        </w:rPr>
        <w:t xml:space="preserve">Direct discharge from stormwater </w:t>
      </w:r>
      <w:r w:rsidR="00916A15">
        <w:rPr>
          <w:b/>
        </w:rPr>
        <w:t>BMPs</w:t>
      </w:r>
      <w:r w:rsidR="006E57E1">
        <w:rPr>
          <w:b/>
        </w:rPr>
        <w:t xml:space="preserve"> to surface waters and not</w:t>
      </w:r>
      <w:r w:rsidRPr="005E4717">
        <w:rPr>
          <w:b/>
        </w:rPr>
        <w:t xml:space="preserve"> to the nearest sinkhole</w:t>
      </w:r>
      <w:r w:rsidRPr="00D3030E">
        <w:t xml:space="preserve">. Because karst areas can be quite large in Minnesota, discharges </w:t>
      </w:r>
      <w:r w:rsidR="00916A15">
        <w:t>should</w:t>
      </w:r>
      <w:r w:rsidR="00916A15" w:rsidRPr="00D3030E">
        <w:t xml:space="preserve"> </w:t>
      </w:r>
      <w:r w:rsidRPr="00D3030E">
        <w:t xml:space="preserve">be routed to a baseflow stream via a pipe or lined ditch or channel to </w:t>
      </w:r>
      <w:r w:rsidR="00916A15">
        <w:t>redirect the flow away from the karst</w:t>
      </w:r>
      <w:r w:rsidRPr="00D3030E">
        <w:t xml:space="preserve">, provided the stream does not disappear into </w:t>
      </w:r>
      <w:r w:rsidR="00916A15">
        <w:t>a</w:t>
      </w:r>
      <w:r w:rsidRPr="00D3030E">
        <w:t xml:space="preserve"> karst feature.</w:t>
      </w:r>
    </w:p>
    <w:p w14:paraId="4541A4A9" w14:textId="139E29A2" w:rsidR="00384B1E" w:rsidRPr="00D3030E" w:rsidRDefault="00916A15" w:rsidP="00384B1E">
      <w:pPr>
        <w:pStyle w:val="LFTBullet1"/>
      </w:pPr>
      <w:r>
        <w:rPr>
          <w:b/>
        </w:rPr>
        <w:t>Incorporate additional precautions w</w:t>
      </w:r>
      <w:r w:rsidR="00384B1E">
        <w:rPr>
          <w:b/>
        </w:rPr>
        <w:t xml:space="preserve">here infiltration practices are used. </w:t>
      </w:r>
      <w:r w:rsidR="00384B1E">
        <w:t>Impermeable liners and underdrains should be used in infiltration practices in active karst areas</w:t>
      </w:r>
      <w:r w:rsidR="006E57E1">
        <w:t>, effectively converting the infiltration BMP to a filtration BMP</w:t>
      </w:r>
      <w:r w:rsidR="00384B1E">
        <w:t>. These measures will be used to prevent the infiltrating water from discharging into the</w:t>
      </w:r>
      <w:r>
        <w:t xml:space="preserve"> soils</w:t>
      </w:r>
      <w:r w:rsidR="00384B1E">
        <w:t xml:space="preserve"> surrounding</w:t>
      </w:r>
      <w:r>
        <w:t xml:space="preserve"> the</w:t>
      </w:r>
      <w:r w:rsidR="00384B1E">
        <w:t xml:space="preserve"> karst </w:t>
      </w:r>
      <w:r>
        <w:t>feature</w:t>
      </w:r>
      <w:r w:rsidR="00384B1E">
        <w:t xml:space="preserve">. In addition, large scale practices (drainage area is greater than 20,000 square feet) are strongly discouraged. </w:t>
      </w:r>
    </w:p>
    <w:p w14:paraId="0256AE0E" w14:textId="3DA74C1D" w:rsidR="00384B1E" w:rsidRPr="00D3030E" w:rsidRDefault="00916A15" w:rsidP="00384B1E">
      <w:pPr>
        <w:pStyle w:val="LFTBullet1"/>
      </w:pPr>
      <w:r>
        <w:rPr>
          <w:b/>
        </w:rPr>
        <w:t xml:space="preserve">Design </w:t>
      </w:r>
      <w:r w:rsidR="00384B1E" w:rsidRPr="00437428">
        <w:rPr>
          <w:b/>
        </w:rPr>
        <w:t xml:space="preserve"> ponds and wetlands with a properly engineered synthetic liner.</w:t>
      </w:r>
      <w:r w:rsidR="00384B1E" w:rsidRPr="00D3030E">
        <w:t xml:space="preserve"> </w:t>
      </w:r>
      <w:r>
        <w:t xml:space="preserve">It is HIGHLY RECOMMENDED that a professional geotechnical engineer investigate and recommend the depth of unconsolidated material between the bottom of the pond and the surface of the bedrock.  </w:t>
      </w:r>
      <w:r w:rsidR="00384B1E" w:rsidRPr="00D3030E">
        <w:t xml:space="preserve">A minimum of 3 feet of unconsolidated soil material </w:t>
      </w:r>
      <w:r>
        <w:t>is the minimum separation</w:t>
      </w:r>
      <w:r w:rsidR="00384B1E" w:rsidRPr="00D3030E">
        <w:t xml:space="preserve"> </w:t>
      </w:r>
      <w:r>
        <w:t>, however an expert may recommend 10 feet or greater</w:t>
      </w:r>
      <w:r w:rsidR="00EA3E26">
        <w:t>.</w:t>
      </w:r>
      <w:r w:rsidR="00384B1E" w:rsidRPr="00D3030E">
        <w:t xml:space="preserve"> Pond and wetland depths should be fairly uniform and limited to no more than 10 feet in depth.</w:t>
      </w:r>
    </w:p>
    <w:p w14:paraId="52600D93" w14:textId="7243974A" w:rsidR="00384B1E" w:rsidRPr="00D3030E" w:rsidRDefault="00916A15" w:rsidP="00384B1E">
      <w:pPr>
        <w:pStyle w:val="LFTBullet1"/>
      </w:pPr>
      <w:r>
        <w:rPr>
          <w:b/>
        </w:rPr>
        <w:t xml:space="preserve">Minimize site disturbance during BMP construction. </w:t>
      </w:r>
      <w:r>
        <w:t xml:space="preserve">Seek the recommendations of a geotechnical engineer for management of heavy equipment, temporary storage of materials, </w:t>
      </w:r>
      <w:r w:rsidR="00384B1E" w:rsidRPr="00D3030E">
        <w:t>changes to the soil profile</w:t>
      </w:r>
      <w:r>
        <w:t xml:space="preserve"> -</w:t>
      </w:r>
      <w:r w:rsidR="00384B1E" w:rsidRPr="00D3030E">
        <w:t xml:space="preserve"> including cuts, fills, excavation and drainage alteration</w:t>
      </w:r>
      <w:r>
        <w:t xml:space="preserve"> -</w:t>
      </w:r>
      <w:r w:rsidRPr="00D3030E">
        <w:t xml:space="preserve"> </w:t>
      </w:r>
      <w:r>
        <w:t xml:space="preserve">on sites that have been found to contain a </w:t>
      </w:r>
      <w:r w:rsidR="00384B1E" w:rsidRPr="00D3030E">
        <w:t>karst feature.</w:t>
      </w:r>
    </w:p>
    <w:p w14:paraId="4C29116E" w14:textId="671C9B88" w:rsidR="008D6E1C" w:rsidRDefault="006E57E1" w:rsidP="00F47691">
      <w:pPr>
        <w:pStyle w:val="LFTBullet1"/>
      </w:pPr>
      <w:r>
        <w:rPr>
          <w:b/>
        </w:rPr>
        <w:t>Report s</w:t>
      </w:r>
      <w:r w:rsidR="001F046A" w:rsidRPr="005E4717">
        <w:rPr>
          <w:b/>
        </w:rPr>
        <w:t xml:space="preserve">inkholes  as soon as possible after the first observation of </w:t>
      </w:r>
      <w:r>
        <w:rPr>
          <w:b/>
        </w:rPr>
        <w:t>sinkhole development</w:t>
      </w:r>
      <w:r w:rsidR="001F046A" w:rsidRPr="005E4717">
        <w:rPr>
          <w:b/>
        </w:rPr>
        <w:t>.</w:t>
      </w:r>
      <w:r w:rsidR="001F046A" w:rsidRPr="00D3030E">
        <w:t xml:space="preserve"> The</w:t>
      </w:r>
      <w:r w:rsidR="004F7A49">
        <w:t xml:space="preserve"> sinkhole(s)</w:t>
      </w:r>
      <w:r w:rsidR="001F046A" w:rsidRPr="00D3030E">
        <w:t xml:space="preserve"> should then be repaired</w:t>
      </w:r>
      <w:r w:rsidR="004F7A49">
        <w:t xml:space="preserve"> or the stormwater management facility</w:t>
      </w:r>
      <w:r w:rsidR="001F046A" w:rsidRPr="00D3030E">
        <w:t xml:space="preserve"> abandoned, adapted, managed and/or observed for future changes, whichever of these</w:t>
      </w:r>
      <w:r w:rsidR="004F7A49">
        <w:t xml:space="preserve"> is most</w:t>
      </w:r>
      <w:r w:rsidR="001F046A" w:rsidRPr="00D3030E">
        <w:t xml:space="preserve"> appropriate</w:t>
      </w:r>
      <w:r w:rsidR="004F7A49">
        <w:t>.</w:t>
      </w:r>
    </w:p>
    <w:p w14:paraId="7E6C8780" w14:textId="5E8E8798" w:rsidR="006E57E1" w:rsidRDefault="006E57E1" w:rsidP="006E57E1">
      <w:pPr>
        <w:pStyle w:val="LFTBullet1"/>
      </w:pPr>
      <w:r>
        <w:rPr>
          <w:b/>
        </w:rPr>
        <w:lastRenderedPageBreak/>
        <w:t>Develop a contingency plan</w:t>
      </w:r>
      <w:r>
        <w:t xml:space="preserve"> for how to manage the stormwater should a BMP fail as a result of the development of a karst feature.  </w:t>
      </w:r>
    </w:p>
    <w:p w14:paraId="1FB31B1B" w14:textId="433E7F4B" w:rsidR="000A2FCC" w:rsidRDefault="001F046A" w:rsidP="006E57E1">
      <w:pPr>
        <w:pStyle w:val="LFTBody"/>
      </w:pPr>
      <w:r w:rsidRPr="00D3030E">
        <w:rPr>
          <w:b/>
        </w:rPr>
        <w:t xml:space="preserve">Table </w:t>
      </w:r>
      <w:r w:rsidR="00BC6982" w:rsidRPr="00D3030E">
        <w:rPr>
          <w:b/>
        </w:rPr>
        <w:t>2.</w:t>
      </w:r>
      <w:r w:rsidR="008A770F">
        <w:rPr>
          <w:b/>
        </w:rPr>
        <w:t>5</w:t>
      </w:r>
      <w:r w:rsidR="008A770F" w:rsidRPr="00D3030E">
        <w:rPr>
          <w:b/>
        </w:rPr>
        <w:t xml:space="preserve"> </w:t>
      </w:r>
      <w:r w:rsidRPr="00D3030E">
        <w:t>provides an overview of karst related design considerations for different structural BMP groups.</w:t>
      </w:r>
    </w:p>
    <w:p w14:paraId="6289C95E" w14:textId="08F74B7A" w:rsidR="00D05802" w:rsidRPr="007B7C9C" w:rsidRDefault="00D05802" w:rsidP="00BC6982">
      <w:pPr>
        <w:pStyle w:val="LFTTableTitle"/>
      </w:pPr>
      <w:r w:rsidRPr="007B7C9C">
        <w:t xml:space="preserve">Table </w:t>
      </w:r>
      <w:r w:rsidR="00BC6982" w:rsidRPr="007B7C9C">
        <w:t>2.</w:t>
      </w:r>
      <w:r w:rsidR="007B7C9C" w:rsidRPr="007B7C9C">
        <w:t>5</w:t>
      </w:r>
      <w:r w:rsidR="007B7C9C">
        <w:t xml:space="preserve"> </w:t>
      </w:r>
      <w:r w:rsidRPr="007B7C9C">
        <w:t xml:space="preserve">Stormwater BMP Selection in Karst Regions </w:t>
      </w:r>
    </w:p>
    <w:tbl>
      <w:tblPr>
        <w:tblStyle w:val="TableGrid"/>
        <w:tblW w:w="0" w:type="auto"/>
        <w:tblLook w:val="04A0" w:firstRow="1" w:lastRow="0" w:firstColumn="1" w:lastColumn="0" w:noHBand="0" w:noVBand="1"/>
      </w:tblPr>
      <w:tblGrid>
        <w:gridCol w:w="1457"/>
        <w:gridCol w:w="2783"/>
        <w:gridCol w:w="4923"/>
      </w:tblGrid>
      <w:tr w:rsidR="00D05802" w:rsidRPr="00313102" w14:paraId="7AB22AEB" w14:textId="77777777" w:rsidTr="00BC6982">
        <w:tc>
          <w:tcPr>
            <w:tcW w:w="1468" w:type="dxa"/>
            <w:tcBorders>
              <w:top w:val="single" w:sz="4" w:space="0" w:color="auto"/>
              <w:left w:val="single" w:sz="4" w:space="0" w:color="auto"/>
              <w:bottom w:val="single" w:sz="4" w:space="0" w:color="auto"/>
              <w:right w:val="single" w:sz="4" w:space="0" w:color="FFFBF0" w:themeColor="background1"/>
            </w:tcBorders>
            <w:shd w:val="clear" w:color="auto" w:fill="00539B" w:themeFill="text2"/>
            <w:hideMark/>
          </w:tcPr>
          <w:p w14:paraId="5AFEF463" w14:textId="77777777" w:rsidR="00D05802" w:rsidRPr="007B7C9C" w:rsidRDefault="00D05802" w:rsidP="00BC6982">
            <w:pPr>
              <w:pStyle w:val="LFTTableheader2"/>
              <w:jc w:val="center"/>
              <w:rPr>
                <w:color w:val="FFFBF0" w:themeColor="background1"/>
              </w:rPr>
            </w:pPr>
            <w:r w:rsidRPr="007B7C9C">
              <w:rPr>
                <w:color w:val="FFFBF0" w:themeColor="background1"/>
              </w:rPr>
              <w:t>BMP</w:t>
            </w:r>
          </w:p>
        </w:tc>
        <w:tc>
          <w:tcPr>
            <w:tcW w:w="2854" w:type="dxa"/>
            <w:tcBorders>
              <w:top w:val="single" w:sz="4" w:space="0" w:color="auto"/>
              <w:left w:val="single" w:sz="4" w:space="0" w:color="FFFBF0" w:themeColor="background1"/>
              <w:bottom w:val="single" w:sz="4" w:space="0" w:color="auto"/>
              <w:right w:val="single" w:sz="4" w:space="0" w:color="FFFBF0" w:themeColor="background1"/>
            </w:tcBorders>
            <w:shd w:val="clear" w:color="auto" w:fill="00539B" w:themeFill="text2"/>
          </w:tcPr>
          <w:p w14:paraId="01F2609F" w14:textId="77777777" w:rsidR="00D05802" w:rsidRPr="007B7C9C" w:rsidRDefault="00D05802" w:rsidP="00BC6982">
            <w:pPr>
              <w:pStyle w:val="LFTTableheader2"/>
              <w:jc w:val="center"/>
              <w:rPr>
                <w:color w:val="FFFBF0" w:themeColor="background1"/>
              </w:rPr>
            </w:pPr>
            <w:r w:rsidRPr="007B7C9C">
              <w:rPr>
                <w:color w:val="FFFBF0" w:themeColor="background1"/>
              </w:rPr>
              <w:t>Suitability in Karst Regions</w:t>
            </w:r>
          </w:p>
        </w:tc>
        <w:tc>
          <w:tcPr>
            <w:tcW w:w="5067" w:type="dxa"/>
            <w:tcBorders>
              <w:top w:val="single" w:sz="4" w:space="0" w:color="auto"/>
              <w:left w:val="single" w:sz="4" w:space="0" w:color="FFFBF0" w:themeColor="background1"/>
              <w:bottom w:val="single" w:sz="4" w:space="0" w:color="auto"/>
              <w:right w:val="single" w:sz="4" w:space="0" w:color="auto"/>
            </w:tcBorders>
            <w:shd w:val="clear" w:color="auto" w:fill="00539B" w:themeFill="text2"/>
            <w:hideMark/>
          </w:tcPr>
          <w:p w14:paraId="4A716165" w14:textId="77777777" w:rsidR="00D05802" w:rsidRPr="00BC6982" w:rsidRDefault="00D05802" w:rsidP="00BC6982">
            <w:pPr>
              <w:pStyle w:val="LFTTableheader2"/>
              <w:jc w:val="center"/>
              <w:rPr>
                <w:color w:val="FFFBF0" w:themeColor="background1"/>
              </w:rPr>
            </w:pPr>
            <w:r w:rsidRPr="007B7C9C">
              <w:rPr>
                <w:color w:val="FFFBF0" w:themeColor="background1"/>
              </w:rPr>
              <w:t>Notes</w:t>
            </w:r>
          </w:p>
        </w:tc>
      </w:tr>
      <w:tr w:rsidR="00EF6CE5" w:rsidRPr="00175054" w14:paraId="65247B97" w14:textId="77777777" w:rsidTr="00D05802">
        <w:trPr>
          <w:trHeight w:val="440"/>
        </w:trPr>
        <w:tc>
          <w:tcPr>
            <w:tcW w:w="1468" w:type="dxa"/>
            <w:tcBorders>
              <w:top w:val="single" w:sz="4" w:space="0" w:color="auto"/>
              <w:left w:val="single" w:sz="4" w:space="0" w:color="auto"/>
              <w:bottom w:val="single" w:sz="4" w:space="0" w:color="auto"/>
              <w:right w:val="single" w:sz="4" w:space="0" w:color="auto"/>
            </w:tcBorders>
          </w:tcPr>
          <w:p w14:paraId="09AD6333" w14:textId="406D0778" w:rsidR="00EF6CE5" w:rsidRPr="00175054" w:rsidRDefault="00EF6CE5" w:rsidP="000D6087">
            <w:pPr>
              <w:pStyle w:val="LFTTabletext"/>
              <w:spacing w:after="0"/>
              <w:jc w:val="center"/>
              <w:rPr>
                <w:rFonts w:ascii="Calibri" w:hAnsi="Calibri"/>
                <w:szCs w:val="18"/>
              </w:rPr>
            </w:pPr>
            <w:r>
              <w:rPr>
                <w:rFonts w:ascii="Calibri" w:hAnsi="Calibri"/>
                <w:szCs w:val="18"/>
              </w:rPr>
              <w:t>Impervious area disconnect</w:t>
            </w:r>
          </w:p>
        </w:tc>
        <w:tc>
          <w:tcPr>
            <w:tcW w:w="2854" w:type="dxa"/>
            <w:tcBorders>
              <w:top w:val="single" w:sz="4" w:space="0" w:color="auto"/>
              <w:left w:val="single" w:sz="4" w:space="0" w:color="auto"/>
              <w:bottom w:val="single" w:sz="4" w:space="0" w:color="auto"/>
              <w:right w:val="single" w:sz="4" w:space="0" w:color="auto"/>
            </w:tcBorders>
          </w:tcPr>
          <w:p w14:paraId="5BC342B7" w14:textId="31C4581E" w:rsidR="00EF6CE5" w:rsidRDefault="00EF6CE5" w:rsidP="00BC6982">
            <w:pPr>
              <w:pStyle w:val="LFTTabletext"/>
              <w:spacing w:after="0"/>
              <w:jc w:val="center"/>
              <w:rPr>
                <w:rFonts w:ascii="Calibri" w:hAnsi="Calibri"/>
                <w:bCs w:val="0"/>
                <w:szCs w:val="18"/>
              </w:rPr>
            </w:pPr>
            <w:r>
              <w:rPr>
                <w:rFonts w:ascii="Calibri" w:hAnsi="Calibri"/>
                <w:bCs w:val="0"/>
                <w:szCs w:val="18"/>
              </w:rPr>
              <w:t>Preferred</w:t>
            </w:r>
          </w:p>
        </w:tc>
        <w:tc>
          <w:tcPr>
            <w:tcW w:w="5067" w:type="dxa"/>
            <w:tcBorders>
              <w:top w:val="single" w:sz="4" w:space="0" w:color="auto"/>
              <w:left w:val="single" w:sz="4" w:space="0" w:color="auto"/>
              <w:bottom w:val="single" w:sz="4" w:space="0" w:color="auto"/>
              <w:right w:val="single" w:sz="4" w:space="0" w:color="auto"/>
            </w:tcBorders>
          </w:tcPr>
          <w:p w14:paraId="5475425A" w14:textId="77777777" w:rsidR="00EF6CE5" w:rsidRPr="00896BC5" w:rsidRDefault="00EF6CE5" w:rsidP="00896BC5">
            <w:pPr>
              <w:pStyle w:val="LFTBullet1"/>
              <w:ind w:left="223" w:hanging="173"/>
              <w:rPr>
                <w:rFonts w:ascii="Calibri" w:hAnsi="Calibri"/>
                <w:sz w:val="18"/>
                <w:szCs w:val="18"/>
              </w:rPr>
            </w:pPr>
            <w:r w:rsidRPr="00896BC5">
              <w:rPr>
                <w:rFonts w:ascii="Calibri" w:hAnsi="Calibri"/>
                <w:sz w:val="18"/>
                <w:szCs w:val="18"/>
              </w:rPr>
              <w:t>Strongly recommended for most residential lots less than 6,000 square feet.</w:t>
            </w:r>
          </w:p>
          <w:p w14:paraId="6CE3403E" w14:textId="7BC00F42" w:rsidR="00EF6CE5" w:rsidRPr="00896BC5" w:rsidRDefault="00EF6CE5" w:rsidP="00896BC5">
            <w:pPr>
              <w:pStyle w:val="LFTBullet1"/>
              <w:ind w:left="223" w:hanging="173"/>
              <w:rPr>
                <w:rFonts w:ascii="Calibri" w:hAnsi="Calibri"/>
                <w:sz w:val="18"/>
                <w:szCs w:val="18"/>
              </w:rPr>
            </w:pPr>
            <w:r w:rsidRPr="00896BC5">
              <w:rPr>
                <w:rFonts w:ascii="Calibri" w:hAnsi="Calibri"/>
                <w:sz w:val="18"/>
                <w:szCs w:val="18"/>
              </w:rPr>
              <w:t>Discharge point from the disconnect should extend at least 15 feet from any building foundation.</w:t>
            </w:r>
          </w:p>
        </w:tc>
      </w:tr>
      <w:tr w:rsidR="00D05802" w:rsidRPr="00175054" w14:paraId="7A87F3CD" w14:textId="77777777" w:rsidTr="00D05802">
        <w:trPr>
          <w:trHeight w:val="440"/>
        </w:trPr>
        <w:tc>
          <w:tcPr>
            <w:tcW w:w="1468" w:type="dxa"/>
            <w:tcBorders>
              <w:top w:val="single" w:sz="4" w:space="0" w:color="auto"/>
              <w:left w:val="single" w:sz="4" w:space="0" w:color="auto"/>
              <w:bottom w:val="single" w:sz="4" w:space="0" w:color="auto"/>
              <w:right w:val="single" w:sz="4" w:space="0" w:color="auto"/>
            </w:tcBorders>
            <w:hideMark/>
          </w:tcPr>
          <w:p w14:paraId="2025784D" w14:textId="317F4D2A" w:rsidR="00D05802" w:rsidRPr="00175054" w:rsidRDefault="00D05802" w:rsidP="000D6087">
            <w:pPr>
              <w:pStyle w:val="LFTTabletext"/>
              <w:spacing w:after="0"/>
              <w:jc w:val="center"/>
              <w:rPr>
                <w:szCs w:val="18"/>
              </w:rPr>
            </w:pPr>
            <w:r w:rsidRPr="00175054">
              <w:rPr>
                <w:rFonts w:ascii="Calibri" w:hAnsi="Calibri"/>
                <w:szCs w:val="18"/>
              </w:rPr>
              <w:t>Bioretention</w:t>
            </w:r>
            <w:r w:rsidR="0079008F">
              <w:rPr>
                <w:rFonts w:ascii="Calibri" w:hAnsi="Calibri"/>
                <w:szCs w:val="18"/>
              </w:rPr>
              <w:t xml:space="preserve"> with underdrain (biofiltration)</w:t>
            </w:r>
          </w:p>
        </w:tc>
        <w:tc>
          <w:tcPr>
            <w:tcW w:w="2854" w:type="dxa"/>
            <w:tcBorders>
              <w:top w:val="single" w:sz="4" w:space="0" w:color="auto"/>
              <w:left w:val="single" w:sz="4" w:space="0" w:color="auto"/>
              <w:bottom w:val="single" w:sz="4" w:space="0" w:color="auto"/>
              <w:right w:val="single" w:sz="4" w:space="0" w:color="auto"/>
            </w:tcBorders>
          </w:tcPr>
          <w:p w14:paraId="5884F06C" w14:textId="77777777" w:rsidR="00D05802" w:rsidRPr="00175054" w:rsidRDefault="00D05802" w:rsidP="00BC6982">
            <w:pPr>
              <w:pStyle w:val="LFTTabletext"/>
              <w:spacing w:after="0"/>
              <w:jc w:val="center"/>
              <w:rPr>
                <w:rFonts w:ascii="Calibri" w:hAnsi="Calibri"/>
                <w:szCs w:val="18"/>
              </w:rPr>
            </w:pPr>
            <w:r>
              <w:rPr>
                <w:rFonts w:ascii="Calibri" w:hAnsi="Calibri"/>
                <w:bCs w:val="0"/>
                <w:szCs w:val="18"/>
              </w:rPr>
              <w:t>Preferred</w:t>
            </w:r>
          </w:p>
        </w:tc>
        <w:tc>
          <w:tcPr>
            <w:tcW w:w="5067" w:type="dxa"/>
            <w:tcBorders>
              <w:top w:val="single" w:sz="4" w:space="0" w:color="auto"/>
              <w:left w:val="single" w:sz="4" w:space="0" w:color="auto"/>
              <w:bottom w:val="single" w:sz="4" w:space="0" w:color="auto"/>
              <w:right w:val="single" w:sz="4" w:space="0" w:color="auto"/>
            </w:tcBorders>
            <w:hideMark/>
          </w:tcPr>
          <w:p w14:paraId="60BDC4F5" w14:textId="77777777" w:rsidR="00D05802" w:rsidRPr="00896BC5" w:rsidRDefault="0079008F" w:rsidP="00896BC5">
            <w:pPr>
              <w:pStyle w:val="LFTBullet1"/>
              <w:ind w:left="223" w:hanging="173"/>
              <w:rPr>
                <w:rFonts w:ascii="Calibri" w:hAnsi="Calibri"/>
                <w:sz w:val="18"/>
                <w:szCs w:val="18"/>
              </w:rPr>
            </w:pPr>
            <w:r w:rsidRPr="00896BC5">
              <w:rPr>
                <w:rFonts w:ascii="Calibri" w:hAnsi="Calibri"/>
                <w:sz w:val="18"/>
                <w:szCs w:val="18"/>
              </w:rPr>
              <w:t>Requires 3 foot</w:t>
            </w:r>
            <w:r w:rsidR="00D05802" w:rsidRPr="00896BC5">
              <w:rPr>
                <w:rFonts w:ascii="Calibri" w:hAnsi="Calibri"/>
                <w:sz w:val="18"/>
                <w:szCs w:val="18"/>
              </w:rPr>
              <w:t xml:space="preserve"> minimum separation distance between practice bottom and bedrock.</w:t>
            </w:r>
            <w:r w:rsidR="00560D1A" w:rsidRPr="00896BC5">
              <w:rPr>
                <w:rFonts w:ascii="Calibri" w:hAnsi="Calibri"/>
                <w:sz w:val="18"/>
                <w:szCs w:val="18"/>
              </w:rPr>
              <w:t xml:space="preserve"> If this is not possible, an underdrain should be used to convey the water away.</w:t>
            </w:r>
          </w:p>
          <w:p w14:paraId="46B6E3F5" w14:textId="5CFB7355" w:rsidR="00560D1A" w:rsidRPr="00896BC5" w:rsidRDefault="00560D1A" w:rsidP="00896BC5">
            <w:pPr>
              <w:pStyle w:val="LFTBullet1"/>
              <w:ind w:left="223" w:hanging="173"/>
              <w:rPr>
                <w:rFonts w:ascii="Calibri" w:hAnsi="Calibri"/>
                <w:sz w:val="18"/>
                <w:szCs w:val="18"/>
              </w:rPr>
            </w:pPr>
            <w:r w:rsidRPr="00896BC5">
              <w:rPr>
                <w:rFonts w:ascii="Calibri" w:hAnsi="Calibri"/>
                <w:sz w:val="18"/>
                <w:szCs w:val="18"/>
              </w:rPr>
              <w:t>It’s recommended that the drainage area to an individual bioretention BMP be kept less than 20,000 square feet.</w:t>
            </w:r>
          </w:p>
          <w:p w14:paraId="7F083FE3" w14:textId="4911B0C2" w:rsidR="00560D1A" w:rsidRPr="00896BC5" w:rsidRDefault="00560D1A" w:rsidP="00896BC5">
            <w:pPr>
              <w:pStyle w:val="LFTBullet1"/>
              <w:ind w:left="223" w:hanging="173"/>
              <w:rPr>
                <w:rFonts w:ascii="Calibri" w:hAnsi="Calibri"/>
                <w:sz w:val="18"/>
                <w:szCs w:val="18"/>
              </w:rPr>
            </w:pPr>
            <w:r w:rsidRPr="00896BC5">
              <w:rPr>
                <w:rFonts w:ascii="Calibri" w:hAnsi="Calibri"/>
                <w:sz w:val="18"/>
                <w:szCs w:val="18"/>
              </w:rPr>
              <w:t>Larger designs that rely on exfiltration of treated runoff into the soils below are not recommended.</w:t>
            </w:r>
          </w:p>
        </w:tc>
      </w:tr>
      <w:tr w:rsidR="00D05802" w:rsidRPr="00175054" w14:paraId="4DB9422C" w14:textId="77777777" w:rsidTr="00D05802">
        <w:trPr>
          <w:trHeight w:val="503"/>
        </w:trPr>
        <w:tc>
          <w:tcPr>
            <w:tcW w:w="1468" w:type="dxa"/>
            <w:tcBorders>
              <w:top w:val="single" w:sz="4" w:space="0" w:color="auto"/>
              <w:left w:val="single" w:sz="4" w:space="0" w:color="auto"/>
              <w:bottom w:val="single" w:sz="4" w:space="0" w:color="auto"/>
              <w:right w:val="single" w:sz="4" w:space="0" w:color="auto"/>
            </w:tcBorders>
            <w:hideMark/>
          </w:tcPr>
          <w:p w14:paraId="4CA107EB" w14:textId="6B39CFA1" w:rsidR="00D05802" w:rsidRPr="00175054" w:rsidRDefault="00D05802" w:rsidP="000D6087">
            <w:pPr>
              <w:pStyle w:val="LFTTabletext"/>
              <w:spacing w:after="0"/>
              <w:jc w:val="center"/>
              <w:rPr>
                <w:szCs w:val="18"/>
              </w:rPr>
            </w:pPr>
            <w:r>
              <w:rPr>
                <w:szCs w:val="18"/>
              </w:rPr>
              <w:t>Rain tank/cistern</w:t>
            </w:r>
          </w:p>
        </w:tc>
        <w:tc>
          <w:tcPr>
            <w:tcW w:w="2854" w:type="dxa"/>
            <w:tcBorders>
              <w:top w:val="single" w:sz="4" w:space="0" w:color="auto"/>
              <w:left w:val="single" w:sz="4" w:space="0" w:color="auto"/>
              <w:bottom w:val="single" w:sz="4" w:space="0" w:color="auto"/>
              <w:right w:val="single" w:sz="4" w:space="0" w:color="auto"/>
            </w:tcBorders>
          </w:tcPr>
          <w:p w14:paraId="58B9935E" w14:textId="77777777" w:rsidR="00D05802" w:rsidRPr="00175054" w:rsidRDefault="00D05802" w:rsidP="00BC6982">
            <w:pPr>
              <w:shd w:val="clear" w:color="auto" w:fill="FFFFFF"/>
              <w:spacing w:line="216" w:lineRule="auto"/>
              <w:ind w:left="-28"/>
              <w:jc w:val="center"/>
              <w:rPr>
                <w:rFonts w:ascii="Calibri" w:hAnsi="Calibri"/>
                <w:bCs/>
                <w:sz w:val="18"/>
                <w:szCs w:val="18"/>
              </w:rPr>
            </w:pPr>
            <w:r>
              <w:rPr>
                <w:rFonts w:ascii="Calibri" w:hAnsi="Calibri"/>
                <w:bCs/>
                <w:sz w:val="18"/>
                <w:szCs w:val="18"/>
              </w:rPr>
              <w:t>Preferred</w:t>
            </w:r>
          </w:p>
        </w:tc>
        <w:tc>
          <w:tcPr>
            <w:tcW w:w="5067" w:type="dxa"/>
            <w:tcBorders>
              <w:top w:val="single" w:sz="4" w:space="0" w:color="auto"/>
              <w:left w:val="single" w:sz="4" w:space="0" w:color="auto"/>
              <w:bottom w:val="single" w:sz="4" w:space="0" w:color="auto"/>
              <w:right w:val="single" w:sz="4" w:space="0" w:color="auto"/>
            </w:tcBorders>
            <w:hideMark/>
          </w:tcPr>
          <w:p w14:paraId="014D538A" w14:textId="77777777" w:rsidR="00D05802" w:rsidRPr="00896BC5" w:rsidRDefault="00EF6CE5" w:rsidP="00896BC5">
            <w:pPr>
              <w:pStyle w:val="LFTBullet1"/>
              <w:ind w:left="223" w:hanging="173"/>
              <w:rPr>
                <w:rFonts w:ascii="Calibri" w:hAnsi="Calibri"/>
                <w:sz w:val="18"/>
                <w:szCs w:val="18"/>
              </w:rPr>
            </w:pPr>
            <w:r w:rsidRPr="00896BC5">
              <w:rPr>
                <w:rFonts w:ascii="Calibri" w:hAnsi="Calibri"/>
                <w:bCs/>
                <w:sz w:val="18"/>
                <w:szCs w:val="18"/>
              </w:rPr>
              <w:t>Above ground tanks are preferred to below ground.</w:t>
            </w:r>
          </w:p>
          <w:p w14:paraId="6257648C" w14:textId="3DCEF323" w:rsidR="00EF6CE5" w:rsidRPr="00896BC5" w:rsidRDefault="00EF6CE5" w:rsidP="00896BC5">
            <w:pPr>
              <w:pStyle w:val="LFTBullet1"/>
              <w:ind w:left="223" w:hanging="173"/>
              <w:rPr>
                <w:rFonts w:ascii="Calibri" w:hAnsi="Calibri"/>
                <w:sz w:val="18"/>
                <w:szCs w:val="18"/>
              </w:rPr>
            </w:pPr>
            <w:r w:rsidRPr="00896BC5">
              <w:rPr>
                <w:rFonts w:ascii="Calibri" w:hAnsi="Calibri"/>
                <w:bCs/>
                <w:sz w:val="18"/>
                <w:szCs w:val="18"/>
              </w:rPr>
              <w:t>Overflow of tank should extend at least 15 feet from building foundation</w:t>
            </w:r>
            <w:r w:rsidR="008A770F" w:rsidRPr="00896BC5">
              <w:rPr>
                <w:rFonts w:ascii="Calibri" w:hAnsi="Calibri"/>
                <w:bCs/>
                <w:sz w:val="18"/>
                <w:szCs w:val="18"/>
              </w:rPr>
              <w:t>.</w:t>
            </w:r>
          </w:p>
        </w:tc>
      </w:tr>
      <w:tr w:rsidR="00D05802" w:rsidRPr="00175054" w14:paraId="1024F2EA" w14:textId="77777777" w:rsidTr="00D05802">
        <w:trPr>
          <w:trHeight w:val="503"/>
        </w:trPr>
        <w:tc>
          <w:tcPr>
            <w:tcW w:w="1468" w:type="dxa"/>
            <w:tcBorders>
              <w:top w:val="single" w:sz="4" w:space="0" w:color="auto"/>
              <w:left w:val="single" w:sz="4" w:space="0" w:color="auto"/>
              <w:bottom w:val="single" w:sz="4" w:space="0" w:color="auto"/>
              <w:right w:val="single" w:sz="4" w:space="0" w:color="auto"/>
            </w:tcBorders>
            <w:hideMark/>
          </w:tcPr>
          <w:p w14:paraId="572C80BA" w14:textId="0E8A9619" w:rsidR="00D05802" w:rsidRPr="00175054" w:rsidRDefault="00D05802" w:rsidP="000D6087">
            <w:pPr>
              <w:pStyle w:val="LFTTabletext"/>
              <w:spacing w:after="0"/>
              <w:jc w:val="center"/>
              <w:rPr>
                <w:rFonts w:ascii="Calibri" w:hAnsi="Calibri"/>
                <w:szCs w:val="18"/>
              </w:rPr>
            </w:pPr>
            <w:r>
              <w:rPr>
                <w:rFonts w:ascii="Calibri" w:hAnsi="Calibri"/>
                <w:szCs w:val="18"/>
              </w:rPr>
              <w:t>Rooftop disconnect</w:t>
            </w:r>
          </w:p>
        </w:tc>
        <w:tc>
          <w:tcPr>
            <w:tcW w:w="2854" w:type="dxa"/>
            <w:tcBorders>
              <w:top w:val="single" w:sz="4" w:space="0" w:color="auto"/>
              <w:left w:val="single" w:sz="4" w:space="0" w:color="auto"/>
              <w:bottom w:val="single" w:sz="4" w:space="0" w:color="auto"/>
              <w:right w:val="single" w:sz="4" w:space="0" w:color="auto"/>
            </w:tcBorders>
          </w:tcPr>
          <w:p w14:paraId="61534B3E" w14:textId="77777777" w:rsidR="00D05802" w:rsidRDefault="00D05802" w:rsidP="00BC6982">
            <w:pPr>
              <w:shd w:val="clear" w:color="auto" w:fill="FFFFFF"/>
              <w:spacing w:line="216" w:lineRule="auto"/>
              <w:ind w:left="-28"/>
              <w:jc w:val="center"/>
              <w:rPr>
                <w:rFonts w:ascii="Calibri" w:hAnsi="Calibri"/>
                <w:bCs/>
                <w:sz w:val="18"/>
                <w:szCs w:val="18"/>
              </w:rPr>
            </w:pPr>
            <w:r>
              <w:rPr>
                <w:rFonts w:ascii="Calibri" w:hAnsi="Calibri"/>
                <w:bCs/>
                <w:sz w:val="18"/>
                <w:szCs w:val="18"/>
              </w:rPr>
              <w:t>Preferred</w:t>
            </w:r>
          </w:p>
        </w:tc>
        <w:tc>
          <w:tcPr>
            <w:tcW w:w="5067" w:type="dxa"/>
            <w:tcBorders>
              <w:top w:val="single" w:sz="4" w:space="0" w:color="auto"/>
              <w:left w:val="single" w:sz="4" w:space="0" w:color="auto"/>
              <w:bottom w:val="single" w:sz="4" w:space="0" w:color="auto"/>
              <w:right w:val="single" w:sz="4" w:space="0" w:color="auto"/>
            </w:tcBorders>
            <w:hideMark/>
          </w:tcPr>
          <w:p w14:paraId="537A6409" w14:textId="4752549D" w:rsidR="00D05802" w:rsidRPr="00896BC5" w:rsidRDefault="00D05802" w:rsidP="00896BC5">
            <w:pPr>
              <w:pStyle w:val="LFTBullet1"/>
              <w:ind w:left="223" w:hanging="173"/>
              <w:rPr>
                <w:rFonts w:ascii="Calibri" w:hAnsi="Calibri"/>
                <w:bCs/>
                <w:sz w:val="18"/>
                <w:szCs w:val="18"/>
              </w:rPr>
            </w:pPr>
            <w:r w:rsidRPr="00896BC5">
              <w:rPr>
                <w:rFonts w:ascii="Calibri" w:hAnsi="Calibri"/>
                <w:bCs/>
                <w:sz w:val="18"/>
                <w:szCs w:val="18"/>
              </w:rPr>
              <w:t>15 feet foundation set back</w:t>
            </w:r>
            <w:r w:rsidR="008A770F" w:rsidRPr="00896BC5">
              <w:rPr>
                <w:rFonts w:ascii="Calibri" w:hAnsi="Calibri"/>
                <w:bCs/>
                <w:sz w:val="18"/>
                <w:szCs w:val="18"/>
              </w:rPr>
              <w:t>.</w:t>
            </w:r>
          </w:p>
          <w:p w14:paraId="195C974C" w14:textId="3C84EF24" w:rsidR="0079008F" w:rsidRPr="00896BC5" w:rsidRDefault="0079008F" w:rsidP="00896BC5">
            <w:pPr>
              <w:pStyle w:val="LFTBullet1"/>
              <w:ind w:left="223" w:hanging="173"/>
              <w:rPr>
                <w:rFonts w:ascii="Calibri" w:hAnsi="Calibri"/>
                <w:bCs/>
                <w:sz w:val="18"/>
                <w:szCs w:val="18"/>
              </w:rPr>
            </w:pPr>
            <w:r w:rsidRPr="00896BC5">
              <w:rPr>
                <w:rFonts w:ascii="Calibri" w:hAnsi="Calibri"/>
                <w:bCs/>
                <w:sz w:val="18"/>
                <w:szCs w:val="18"/>
              </w:rPr>
              <w:t>Runoff should be spread diffusely across landscape</w:t>
            </w:r>
            <w:r w:rsidR="008A770F" w:rsidRPr="00896BC5">
              <w:rPr>
                <w:rFonts w:ascii="Calibri" w:hAnsi="Calibri"/>
                <w:bCs/>
                <w:sz w:val="18"/>
                <w:szCs w:val="18"/>
              </w:rPr>
              <w:t>.</w:t>
            </w:r>
          </w:p>
        </w:tc>
      </w:tr>
      <w:tr w:rsidR="00D05802" w:rsidRPr="00175054" w14:paraId="528E0DB8" w14:textId="77777777" w:rsidTr="00D05802">
        <w:trPr>
          <w:trHeight w:val="503"/>
        </w:trPr>
        <w:tc>
          <w:tcPr>
            <w:tcW w:w="1468" w:type="dxa"/>
            <w:tcBorders>
              <w:top w:val="single" w:sz="4" w:space="0" w:color="auto"/>
              <w:left w:val="single" w:sz="4" w:space="0" w:color="auto"/>
              <w:bottom w:val="single" w:sz="4" w:space="0" w:color="auto"/>
              <w:right w:val="single" w:sz="4" w:space="0" w:color="auto"/>
            </w:tcBorders>
            <w:hideMark/>
          </w:tcPr>
          <w:p w14:paraId="7487A63D" w14:textId="77777777" w:rsidR="00D05802" w:rsidRPr="00175054" w:rsidRDefault="00D05802" w:rsidP="000D6087">
            <w:pPr>
              <w:pStyle w:val="LFTTabletext"/>
              <w:spacing w:after="0"/>
              <w:jc w:val="center"/>
              <w:rPr>
                <w:rFonts w:ascii="Calibri" w:hAnsi="Calibri"/>
                <w:szCs w:val="18"/>
              </w:rPr>
            </w:pPr>
            <w:r>
              <w:rPr>
                <w:rFonts w:ascii="Calibri" w:hAnsi="Calibri"/>
                <w:szCs w:val="18"/>
              </w:rPr>
              <w:t>Green roofs</w:t>
            </w:r>
          </w:p>
        </w:tc>
        <w:tc>
          <w:tcPr>
            <w:tcW w:w="2854" w:type="dxa"/>
            <w:tcBorders>
              <w:top w:val="single" w:sz="4" w:space="0" w:color="auto"/>
              <w:left w:val="single" w:sz="4" w:space="0" w:color="auto"/>
              <w:bottom w:val="single" w:sz="4" w:space="0" w:color="auto"/>
              <w:right w:val="single" w:sz="4" w:space="0" w:color="auto"/>
            </w:tcBorders>
          </w:tcPr>
          <w:p w14:paraId="13016AF3" w14:textId="77777777" w:rsidR="00D05802" w:rsidRPr="00175054" w:rsidRDefault="00D05802" w:rsidP="00BC6982">
            <w:pPr>
              <w:shd w:val="clear" w:color="auto" w:fill="FFFFFF"/>
              <w:spacing w:line="216" w:lineRule="auto"/>
              <w:ind w:left="-28"/>
              <w:jc w:val="center"/>
              <w:rPr>
                <w:rFonts w:ascii="Calibri" w:hAnsi="Calibri"/>
                <w:bCs/>
                <w:sz w:val="18"/>
                <w:szCs w:val="18"/>
              </w:rPr>
            </w:pPr>
            <w:r>
              <w:rPr>
                <w:rFonts w:ascii="Calibri" w:hAnsi="Calibri"/>
                <w:bCs/>
                <w:sz w:val="18"/>
                <w:szCs w:val="18"/>
              </w:rPr>
              <w:t>Preferred</w:t>
            </w:r>
          </w:p>
        </w:tc>
        <w:tc>
          <w:tcPr>
            <w:tcW w:w="5067" w:type="dxa"/>
            <w:tcBorders>
              <w:top w:val="single" w:sz="4" w:space="0" w:color="auto"/>
              <w:left w:val="single" w:sz="4" w:space="0" w:color="auto"/>
              <w:bottom w:val="single" w:sz="4" w:space="0" w:color="auto"/>
              <w:right w:val="single" w:sz="4" w:space="0" w:color="auto"/>
            </w:tcBorders>
            <w:hideMark/>
          </w:tcPr>
          <w:p w14:paraId="38709843" w14:textId="52D70554" w:rsidR="00D05802" w:rsidRPr="00896BC5" w:rsidRDefault="0079008F" w:rsidP="00896BC5">
            <w:pPr>
              <w:pStyle w:val="LFTBullet1"/>
              <w:ind w:left="223" w:hanging="173"/>
              <w:rPr>
                <w:rFonts w:ascii="Calibri" w:hAnsi="Calibri"/>
                <w:bCs/>
                <w:sz w:val="18"/>
                <w:szCs w:val="18"/>
              </w:rPr>
            </w:pPr>
            <w:r w:rsidRPr="00896BC5">
              <w:rPr>
                <w:rFonts w:ascii="Calibri" w:hAnsi="Calibri"/>
                <w:bCs/>
                <w:sz w:val="18"/>
                <w:szCs w:val="18"/>
              </w:rPr>
              <w:t>Runoff should be spread diffusely across landscape</w:t>
            </w:r>
            <w:r w:rsidR="008A770F" w:rsidRPr="00896BC5">
              <w:rPr>
                <w:rFonts w:ascii="Calibri" w:hAnsi="Calibri"/>
                <w:bCs/>
                <w:sz w:val="18"/>
                <w:szCs w:val="18"/>
              </w:rPr>
              <w:t>.</w:t>
            </w:r>
          </w:p>
        </w:tc>
      </w:tr>
      <w:tr w:rsidR="00D05802" w:rsidRPr="00175054" w14:paraId="212D740A" w14:textId="77777777" w:rsidTr="00D05802">
        <w:trPr>
          <w:trHeight w:val="503"/>
        </w:trPr>
        <w:tc>
          <w:tcPr>
            <w:tcW w:w="1468" w:type="dxa"/>
            <w:tcBorders>
              <w:top w:val="single" w:sz="4" w:space="0" w:color="auto"/>
              <w:left w:val="single" w:sz="4" w:space="0" w:color="auto"/>
              <w:bottom w:val="single" w:sz="4" w:space="0" w:color="auto"/>
              <w:right w:val="single" w:sz="4" w:space="0" w:color="auto"/>
            </w:tcBorders>
            <w:hideMark/>
          </w:tcPr>
          <w:p w14:paraId="05941AEF" w14:textId="1DD9E67E" w:rsidR="00D05802" w:rsidRDefault="00D05802" w:rsidP="000D6087">
            <w:pPr>
              <w:pStyle w:val="LFTTabletext"/>
              <w:spacing w:after="0"/>
              <w:jc w:val="center"/>
              <w:rPr>
                <w:rFonts w:ascii="Calibri" w:hAnsi="Calibri"/>
                <w:szCs w:val="18"/>
              </w:rPr>
            </w:pPr>
            <w:r>
              <w:rPr>
                <w:rFonts w:ascii="Calibri" w:hAnsi="Calibri"/>
                <w:szCs w:val="18"/>
              </w:rPr>
              <w:t>Dry Swale</w:t>
            </w:r>
            <w:r w:rsidR="008D6E1C">
              <w:rPr>
                <w:rFonts w:ascii="Calibri" w:hAnsi="Calibri"/>
                <w:szCs w:val="18"/>
              </w:rPr>
              <w:t xml:space="preserve"> or</w:t>
            </w:r>
          </w:p>
          <w:p w14:paraId="2EB11B58" w14:textId="4B6C34EF" w:rsidR="008D6E1C" w:rsidRPr="00175054" w:rsidRDefault="008D6E1C" w:rsidP="000D6087">
            <w:pPr>
              <w:pStyle w:val="LFTTabletext"/>
              <w:spacing w:after="0"/>
              <w:jc w:val="center"/>
              <w:rPr>
                <w:rFonts w:ascii="Calibri" w:hAnsi="Calibri"/>
                <w:szCs w:val="18"/>
              </w:rPr>
            </w:pPr>
            <w:r>
              <w:rPr>
                <w:rFonts w:ascii="Calibri" w:hAnsi="Calibri"/>
                <w:szCs w:val="18"/>
              </w:rPr>
              <w:t>Grassed Channel</w:t>
            </w:r>
          </w:p>
        </w:tc>
        <w:tc>
          <w:tcPr>
            <w:tcW w:w="2854" w:type="dxa"/>
            <w:tcBorders>
              <w:top w:val="single" w:sz="4" w:space="0" w:color="auto"/>
              <w:left w:val="single" w:sz="4" w:space="0" w:color="auto"/>
              <w:bottom w:val="single" w:sz="4" w:space="0" w:color="auto"/>
              <w:right w:val="single" w:sz="4" w:space="0" w:color="auto"/>
            </w:tcBorders>
          </w:tcPr>
          <w:p w14:paraId="5B72CE17" w14:textId="77777777" w:rsidR="00D05802" w:rsidRPr="00175054" w:rsidRDefault="00D05802" w:rsidP="00BC6982">
            <w:pPr>
              <w:shd w:val="clear" w:color="auto" w:fill="FFFFFF"/>
              <w:spacing w:line="216" w:lineRule="auto"/>
              <w:ind w:left="-28"/>
              <w:jc w:val="center"/>
              <w:rPr>
                <w:rFonts w:ascii="Calibri" w:hAnsi="Calibri"/>
                <w:bCs/>
                <w:sz w:val="18"/>
                <w:szCs w:val="18"/>
              </w:rPr>
            </w:pPr>
            <w:r>
              <w:rPr>
                <w:rFonts w:ascii="Calibri" w:hAnsi="Calibri"/>
                <w:bCs/>
                <w:sz w:val="18"/>
                <w:szCs w:val="18"/>
              </w:rPr>
              <w:t>Preferred</w:t>
            </w:r>
          </w:p>
        </w:tc>
        <w:tc>
          <w:tcPr>
            <w:tcW w:w="5067" w:type="dxa"/>
            <w:tcBorders>
              <w:top w:val="single" w:sz="4" w:space="0" w:color="auto"/>
              <w:left w:val="single" w:sz="4" w:space="0" w:color="auto"/>
              <w:bottom w:val="single" w:sz="4" w:space="0" w:color="auto"/>
              <w:right w:val="single" w:sz="4" w:space="0" w:color="auto"/>
            </w:tcBorders>
            <w:hideMark/>
          </w:tcPr>
          <w:p w14:paraId="11378167" w14:textId="4FA64759" w:rsidR="00D05802" w:rsidRPr="00896BC5" w:rsidRDefault="00D05802" w:rsidP="00896BC5">
            <w:pPr>
              <w:pStyle w:val="LFTBullet1"/>
              <w:ind w:left="223" w:hanging="173"/>
              <w:rPr>
                <w:rFonts w:ascii="Calibri" w:hAnsi="Calibri"/>
                <w:bCs/>
                <w:sz w:val="18"/>
                <w:szCs w:val="18"/>
              </w:rPr>
            </w:pPr>
            <w:r w:rsidRPr="00896BC5">
              <w:rPr>
                <w:rFonts w:ascii="Calibri" w:hAnsi="Calibri"/>
                <w:bCs/>
                <w:sz w:val="18"/>
                <w:szCs w:val="18"/>
              </w:rPr>
              <w:t>Line with underdrains</w:t>
            </w:r>
            <w:r w:rsidR="008A770F" w:rsidRPr="00896BC5">
              <w:rPr>
                <w:rFonts w:ascii="Calibri" w:hAnsi="Calibri"/>
                <w:bCs/>
                <w:sz w:val="18"/>
                <w:szCs w:val="18"/>
              </w:rPr>
              <w:t>.</w:t>
            </w:r>
          </w:p>
          <w:p w14:paraId="7786A91F" w14:textId="1DA22F76" w:rsidR="008D6E1C" w:rsidRPr="00896BC5" w:rsidRDefault="008D6E1C" w:rsidP="00896BC5">
            <w:pPr>
              <w:pStyle w:val="LFTBullet1"/>
              <w:ind w:left="223" w:hanging="173"/>
              <w:rPr>
                <w:rFonts w:ascii="Calibri" w:hAnsi="Calibri"/>
                <w:bCs/>
                <w:sz w:val="18"/>
                <w:szCs w:val="18"/>
              </w:rPr>
            </w:pPr>
            <w:r w:rsidRPr="00896BC5">
              <w:rPr>
                <w:rFonts w:ascii="Calibri" w:hAnsi="Calibri"/>
                <w:bCs/>
                <w:sz w:val="18"/>
                <w:szCs w:val="18"/>
              </w:rPr>
              <w:t>Incorporate compost amendments into the bottom of the channel to improve runoff reduction for vegetative uptake, and transpiration.</w:t>
            </w:r>
          </w:p>
          <w:p w14:paraId="5E59415D" w14:textId="494F5594" w:rsidR="008D6E1C" w:rsidRPr="00896BC5" w:rsidRDefault="008D6E1C" w:rsidP="00896BC5">
            <w:pPr>
              <w:pStyle w:val="LFTBullet1"/>
              <w:ind w:left="223" w:hanging="173"/>
              <w:rPr>
                <w:rFonts w:ascii="Calibri" w:hAnsi="Calibri"/>
                <w:bCs/>
                <w:sz w:val="18"/>
                <w:szCs w:val="18"/>
              </w:rPr>
            </w:pPr>
            <w:r w:rsidRPr="00896BC5">
              <w:rPr>
                <w:rFonts w:ascii="Calibri" w:hAnsi="Calibri"/>
                <w:bCs/>
                <w:sz w:val="18"/>
                <w:szCs w:val="18"/>
              </w:rPr>
              <w:t>Do not incorporate check dams unless the swale or channel incorporates an underdrain.  Otherwise small areas of infiltration would develop in the zones upgradient of the check dam where the water is captured without adequate outlet.</w:t>
            </w:r>
          </w:p>
        </w:tc>
      </w:tr>
      <w:tr w:rsidR="00D05802" w:rsidRPr="00175054" w14:paraId="2D466985" w14:textId="77777777" w:rsidTr="00D05802">
        <w:trPr>
          <w:trHeight w:val="503"/>
        </w:trPr>
        <w:tc>
          <w:tcPr>
            <w:tcW w:w="1468" w:type="dxa"/>
            <w:tcBorders>
              <w:top w:val="single" w:sz="4" w:space="0" w:color="auto"/>
              <w:left w:val="single" w:sz="4" w:space="0" w:color="auto"/>
              <w:bottom w:val="single" w:sz="4" w:space="0" w:color="auto"/>
              <w:right w:val="single" w:sz="4" w:space="0" w:color="auto"/>
            </w:tcBorders>
            <w:hideMark/>
          </w:tcPr>
          <w:p w14:paraId="67C962A5" w14:textId="77777777" w:rsidR="00D05802" w:rsidRPr="00175054" w:rsidRDefault="00D05802" w:rsidP="000D6087">
            <w:pPr>
              <w:pStyle w:val="LFTTabletext"/>
              <w:spacing w:after="0"/>
              <w:jc w:val="center"/>
              <w:rPr>
                <w:szCs w:val="18"/>
              </w:rPr>
            </w:pPr>
            <w:r w:rsidRPr="00175054">
              <w:rPr>
                <w:rFonts w:ascii="Calibri" w:hAnsi="Calibri"/>
                <w:szCs w:val="18"/>
              </w:rPr>
              <w:t>Media filter</w:t>
            </w:r>
          </w:p>
        </w:tc>
        <w:tc>
          <w:tcPr>
            <w:tcW w:w="2854" w:type="dxa"/>
            <w:tcBorders>
              <w:top w:val="single" w:sz="4" w:space="0" w:color="auto"/>
              <w:left w:val="single" w:sz="4" w:space="0" w:color="auto"/>
              <w:bottom w:val="single" w:sz="4" w:space="0" w:color="auto"/>
              <w:right w:val="single" w:sz="4" w:space="0" w:color="auto"/>
            </w:tcBorders>
          </w:tcPr>
          <w:p w14:paraId="33DA4AEE" w14:textId="77777777" w:rsidR="00D05802" w:rsidRPr="00175054" w:rsidRDefault="00D05802" w:rsidP="00BC6982">
            <w:pPr>
              <w:shd w:val="clear" w:color="auto" w:fill="FFFFFF"/>
              <w:spacing w:line="216" w:lineRule="auto"/>
              <w:ind w:left="-28"/>
              <w:jc w:val="center"/>
              <w:rPr>
                <w:rFonts w:ascii="Calibri" w:hAnsi="Calibri"/>
                <w:bCs/>
                <w:sz w:val="18"/>
                <w:szCs w:val="18"/>
              </w:rPr>
            </w:pPr>
            <w:r>
              <w:rPr>
                <w:rFonts w:ascii="Calibri" w:hAnsi="Calibri"/>
                <w:bCs/>
                <w:sz w:val="18"/>
                <w:szCs w:val="18"/>
              </w:rPr>
              <w:t>Preferred</w:t>
            </w:r>
          </w:p>
        </w:tc>
        <w:tc>
          <w:tcPr>
            <w:tcW w:w="5067" w:type="dxa"/>
            <w:tcBorders>
              <w:top w:val="single" w:sz="4" w:space="0" w:color="auto"/>
              <w:left w:val="single" w:sz="4" w:space="0" w:color="auto"/>
              <w:bottom w:val="single" w:sz="4" w:space="0" w:color="auto"/>
              <w:right w:val="single" w:sz="4" w:space="0" w:color="auto"/>
            </w:tcBorders>
            <w:hideMark/>
          </w:tcPr>
          <w:p w14:paraId="6C023F61" w14:textId="71B301EB" w:rsidR="00D05802" w:rsidRPr="00896BC5" w:rsidRDefault="00D05802" w:rsidP="00896BC5">
            <w:pPr>
              <w:pStyle w:val="LFTBullet1"/>
              <w:ind w:left="223" w:hanging="173"/>
              <w:rPr>
                <w:rFonts w:ascii="Calibri" w:hAnsi="Calibri"/>
                <w:sz w:val="18"/>
                <w:szCs w:val="18"/>
              </w:rPr>
            </w:pPr>
            <w:r w:rsidRPr="00896BC5">
              <w:rPr>
                <w:rFonts w:ascii="Calibri" w:hAnsi="Calibri"/>
                <w:bCs/>
                <w:sz w:val="18"/>
                <w:szCs w:val="18"/>
              </w:rPr>
              <w:t>Recommended practice in areas of shallow bedrock and soil</w:t>
            </w:r>
            <w:r w:rsidR="008A770F" w:rsidRPr="00896BC5">
              <w:rPr>
                <w:rFonts w:ascii="Calibri" w:hAnsi="Calibri"/>
                <w:bCs/>
                <w:sz w:val="18"/>
                <w:szCs w:val="18"/>
              </w:rPr>
              <w:t>.</w:t>
            </w:r>
          </w:p>
        </w:tc>
      </w:tr>
      <w:tr w:rsidR="00D05802" w:rsidRPr="00175054" w14:paraId="5F246060" w14:textId="77777777" w:rsidTr="00D05802">
        <w:trPr>
          <w:trHeight w:val="350"/>
        </w:trPr>
        <w:tc>
          <w:tcPr>
            <w:tcW w:w="1468" w:type="dxa"/>
            <w:tcBorders>
              <w:top w:val="single" w:sz="4" w:space="0" w:color="auto"/>
              <w:left w:val="single" w:sz="4" w:space="0" w:color="auto"/>
              <w:bottom w:val="single" w:sz="4" w:space="0" w:color="auto"/>
              <w:right w:val="single" w:sz="4" w:space="0" w:color="auto"/>
            </w:tcBorders>
            <w:hideMark/>
          </w:tcPr>
          <w:p w14:paraId="014AE1C5" w14:textId="77777777" w:rsidR="00D05802" w:rsidRPr="00175054" w:rsidRDefault="00D05802" w:rsidP="000D6087">
            <w:pPr>
              <w:pStyle w:val="LFTTabletext"/>
              <w:spacing w:after="0"/>
              <w:jc w:val="center"/>
              <w:rPr>
                <w:szCs w:val="18"/>
              </w:rPr>
            </w:pPr>
            <w:r w:rsidRPr="00175054">
              <w:rPr>
                <w:rFonts w:ascii="Calibri" w:hAnsi="Calibri"/>
                <w:szCs w:val="18"/>
              </w:rPr>
              <w:t>Vegetative filter</w:t>
            </w:r>
          </w:p>
        </w:tc>
        <w:tc>
          <w:tcPr>
            <w:tcW w:w="2854" w:type="dxa"/>
            <w:tcBorders>
              <w:top w:val="single" w:sz="4" w:space="0" w:color="auto"/>
              <w:left w:val="single" w:sz="4" w:space="0" w:color="auto"/>
              <w:bottom w:val="single" w:sz="4" w:space="0" w:color="auto"/>
              <w:right w:val="single" w:sz="4" w:space="0" w:color="auto"/>
            </w:tcBorders>
          </w:tcPr>
          <w:p w14:paraId="30C3FCDD" w14:textId="77777777" w:rsidR="00D05802" w:rsidRPr="00175054" w:rsidRDefault="00D05802" w:rsidP="00BC6982">
            <w:pPr>
              <w:spacing w:line="216" w:lineRule="auto"/>
              <w:ind w:left="-28"/>
              <w:jc w:val="center"/>
              <w:rPr>
                <w:rFonts w:ascii="Calibri" w:hAnsi="Calibri"/>
                <w:bCs/>
                <w:sz w:val="18"/>
                <w:szCs w:val="18"/>
              </w:rPr>
            </w:pPr>
            <w:r>
              <w:rPr>
                <w:rFonts w:ascii="Calibri" w:hAnsi="Calibri"/>
                <w:bCs/>
                <w:sz w:val="18"/>
                <w:szCs w:val="18"/>
              </w:rPr>
              <w:t>Preferred</w:t>
            </w:r>
          </w:p>
        </w:tc>
        <w:tc>
          <w:tcPr>
            <w:tcW w:w="5067" w:type="dxa"/>
            <w:tcBorders>
              <w:top w:val="single" w:sz="4" w:space="0" w:color="auto"/>
              <w:left w:val="single" w:sz="4" w:space="0" w:color="auto"/>
              <w:bottom w:val="single" w:sz="4" w:space="0" w:color="auto"/>
              <w:right w:val="single" w:sz="4" w:space="0" w:color="auto"/>
            </w:tcBorders>
            <w:hideMark/>
          </w:tcPr>
          <w:p w14:paraId="48938A10" w14:textId="49E00200" w:rsidR="00D05802" w:rsidRPr="00896BC5" w:rsidRDefault="00D05802" w:rsidP="00896BC5">
            <w:pPr>
              <w:pStyle w:val="LFTBullet1"/>
              <w:ind w:left="223" w:hanging="173"/>
              <w:rPr>
                <w:rFonts w:ascii="Calibri" w:hAnsi="Calibri"/>
                <w:bCs/>
                <w:sz w:val="18"/>
                <w:szCs w:val="18"/>
              </w:rPr>
            </w:pPr>
            <w:r w:rsidRPr="00896BC5">
              <w:rPr>
                <w:rFonts w:ascii="Calibri" w:hAnsi="Calibri"/>
                <w:bCs/>
                <w:sz w:val="18"/>
                <w:szCs w:val="18"/>
              </w:rPr>
              <w:t>Recommended practice in areas of shallow bedrock and soil.</w:t>
            </w:r>
          </w:p>
        </w:tc>
      </w:tr>
      <w:tr w:rsidR="00D05802" w:rsidRPr="00175054" w14:paraId="3003EBC4" w14:textId="77777777" w:rsidTr="008D6E1C">
        <w:trPr>
          <w:trHeight w:val="350"/>
        </w:trPr>
        <w:tc>
          <w:tcPr>
            <w:tcW w:w="1468" w:type="dxa"/>
            <w:tcBorders>
              <w:top w:val="single" w:sz="4" w:space="0" w:color="auto"/>
              <w:left w:val="single" w:sz="4" w:space="0" w:color="auto"/>
              <w:bottom w:val="single" w:sz="4" w:space="0" w:color="auto"/>
              <w:right w:val="single" w:sz="4" w:space="0" w:color="auto"/>
            </w:tcBorders>
          </w:tcPr>
          <w:p w14:paraId="1192378B" w14:textId="7B5D7CF8" w:rsidR="00D05802" w:rsidRPr="00175054" w:rsidRDefault="00D05802" w:rsidP="000D6087">
            <w:pPr>
              <w:pStyle w:val="LFTTabletext"/>
              <w:spacing w:after="0"/>
              <w:jc w:val="center"/>
              <w:rPr>
                <w:rFonts w:ascii="Calibri" w:hAnsi="Calibri"/>
                <w:szCs w:val="18"/>
              </w:rPr>
            </w:pPr>
          </w:p>
        </w:tc>
        <w:tc>
          <w:tcPr>
            <w:tcW w:w="2854" w:type="dxa"/>
            <w:tcBorders>
              <w:top w:val="single" w:sz="4" w:space="0" w:color="auto"/>
              <w:left w:val="single" w:sz="4" w:space="0" w:color="auto"/>
              <w:bottom w:val="single" w:sz="4" w:space="0" w:color="auto"/>
              <w:right w:val="single" w:sz="4" w:space="0" w:color="auto"/>
            </w:tcBorders>
          </w:tcPr>
          <w:p w14:paraId="31697BDB" w14:textId="4C9025D0" w:rsidR="00D05802" w:rsidRPr="00175054" w:rsidRDefault="00D05802" w:rsidP="00BC6982">
            <w:pPr>
              <w:shd w:val="clear" w:color="auto" w:fill="FFFFFF"/>
              <w:spacing w:line="216" w:lineRule="auto"/>
              <w:ind w:left="-28"/>
              <w:jc w:val="center"/>
              <w:rPr>
                <w:rFonts w:ascii="Calibri" w:hAnsi="Calibri"/>
                <w:bCs/>
                <w:sz w:val="18"/>
                <w:szCs w:val="18"/>
              </w:rPr>
            </w:pPr>
          </w:p>
        </w:tc>
        <w:tc>
          <w:tcPr>
            <w:tcW w:w="5067" w:type="dxa"/>
            <w:tcBorders>
              <w:top w:val="single" w:sz="4" w:space="0" w:color="auto"/>
              <w:left w:val="single" w:sz="4" w:space="0" w:color="auto"/>
              <w:bottom w:val="single" w:sz="4" w:space="0" w:color="auto"/>
              <w:right w:val="single" w:sz="4" w:space="0" w:color="auto"/>
            </w:tcBorders>
          </w:tcPr>
          <w:p w14:paraId="36C1486A" w14:textId="728324FD" w:rsidR="005D4B4F" w:rsidRPr="00896BC5" w:rsidRDefault="005D4B4F" w:rsidP="00896BC5">
            <w:pPr>
              <w:pStyle w:val="LFTBullet1"/>
              <w:numPr>
                <w:ilvl w:val="0"/>
                <w:numId w:val="0"/>
              </w:numPr>
              <w:ind w:left="223"/>
              <w:rPr>
                <w:rFonts w:ascii="Calibri" w:hAnsi="Calibri"/>
                <w:bCs/>
                <w:sz w:val="18"/>
                <w:szCs w:val="18"/>
              </w:rPr>
            </w:pPr>
          </w:p>
        </w:tc>
      </w:tr>
      <w:tr w:rsidR="00D05802" w:rsidRPr="00175054" w14:paraId="0434D3E4" w14:textId="77777777" w:rsidTr="00D05802">
        <w:trPr>
          <w:trHeight w:val="350"/>
        </w:trPr>
        <w:tc>
          <w:tcPr>
            <w:tcW w:w="1468" w:type="dxa"/>
            <w:tcBorders>
              <w:top w:val="single" w:sz="4" w:space="0" w:color="auto"/>
              <w:left w:val="single" w:sz="4" w:space="0" w:color="auto"/>
              <w:bottom w:val="single" w:sz="4" w:space="0" w:color="auto"/>
              <w:right w:val="single" w:sz="4" w:space="0" w:color="auto"/>
            </w:tcBorders>
            <w:hideMark/>
          </w:tcPr>
          <w:p w14:paraId="21788F34" w14:textId="4DDBA264" w:rsidR="00D05802" w:rsidRPr="00175054" w:rsidRDefault="00D05802" w:rsidP="00D05802">
            <w:pPr>
              <w:pStyle w:val="LFTTabletext"/>
              <w:spacing w:after="0"/>
              <w:jc w:val="center"/>
              <w:rPr>
                <w:rFonts w:ascii="Calibri" w:hAnsi="Calibri"/>
                <w:szCs w:val="18"/>
              </w:rPr>
            </w:pPr>
            <w:r>
              <w:rPr>
                <w:rFonts w:ascii="Calibri" w:hAnsi="Calibri"/>
                <w:szCs w:val="18"/>
              </w:rPr>
              <w:t>Soil compost amendment</w:t>
            </w:r>
          </w:p>
        </w:tc>
        <w:tc>
          <w:tcPr>
            <w:tcW w:w="2854" w:type="dxa"/>
            <w:tcBorders>
              <w:top w:val="single" w:sz="4" w:space="0" w:color="auto"/>
              <w:left w:val="single" w:sz="4" w:space="0" w:color="auto"/>
              <w:bottom w:val="single" w:sz="4" w:space="0" w:color="auto"/>
              <w:right w:val="single" w:sz="4" w:space="0" w:color="auto"/>
            </w:tcBorders>
          </w:tcPr>
          <w:p w14:paraId="291A7EEE" w14:textId="77777777" w:rsidR="00D05802" w:rsidRPr="00175054" w:rsidRDefault="00D05802" w:rsidP="00BC6982">
            <w:pPr>
              <w:shd w:val="clear" w:color="auto" w:fill="FFFFFF"/>
              <w:spacing w:line="216" w:lineRule="auto"/>
              <w:ind w:left="-28"/>
              <w:jc w:val="center"/>
              <w:rPr>
                <w:rFonts w:ascii="Calibri" w:hAnsi="Calibri"/>
                <w:bCs/>
                <w:sz w:val="18"/>
                <w:szCs w:val="18"/>
              </w:rPr>
            </w:pPr>
            <w:r>
              <w:rPr>
                <w:rFonts w:ascii="Calibri" w:hAnsi="Calibri"/>
                <w:bCs/>
                <w:sz w:val="18"/>
                <w:szCs w:val="18"/>
              </w:rPr>
              <w:t>Adequate</w:t>
            </w:r>
          </w:p>
        </w:tc>
        <w:tc>
          <w:tcPr>
            <w:tcW w:w="5067" w:type="dxa"/>
            <w:tcBorders>
              <w:top w:val="single" w:sz="4" w:space="0" w:color="auto"/>
              <w:left w:val="single" w:sz="4" w:space="0" w:color="auto"/>
              <w:bottom w:val="single" w:sz="4" w:space="0" w:color="auto"/>
              <w:right w:val="single" w:sz="4" w:space="0" w:color="auto"/>
            </w:tcBorders>
            <w:hideMark/>
          </w:tcPr>
          <w:p w14:paraId="78843D69" w14:textId="77777777" w:rsidR="00D05802" w:rsidRPr="00896BC5" w:rsidRDefault="00D05802" w:rsidP="00896BC5">
            <w:pPr>
              <w:pStyle w:val="LFTBullet1"/>
              <w:numPr>
                <w:ilvl w:val="0"/>
                <w:numId w:val="0"/>
              </w:numPr>
              <w:ind w:left="223"/>
              <w:rPr>
                <w:rFonts w:ascii="Calibri" w:hAnsi="Calibri"/>
                <w:bCs/>
                <w:sz w:val="18"/>
                <w:szCs w:val="18"/>
              </w:rPr>
            </w:pPr>
          </w:p>
        </w:tc>
      </w:tr>
      <w:tr w:rsidR="00D05802" w:rsidRPr="00175054" w14:paraId="05A4B688" w14:textId="77777777" w:rsidTr="00D05802">
        <w:trPr>
          <w:trHeight w:val="350"/>
        </w:trPr>
        <w:tc>
          <w:tcPr>
            <w:tcW w:w="1468" w:type="dxa"/>
            <w:tcBorders>
              <w:top w:val="single" w:sz="4" w:space="0" w:color="auto"/>
              <w:left w:val="single" w:sz="4" w:space="0" w:color="auto"/>
              <w:bottom w:val="single" w:sz="4" w:space="0" w:color="auto"/>
              <w:right w:val="single" w:sz="4" w:space="0" w:color="auto"/>
            </w:tcBorders>
            <w:hideMark/>
          </w:tcPr>
          <w:p w14:paraId="7CA34E5D" w14:textId="2C2F0322" w:rsidR="004D0DC6" w:rsidRDefault="008D6E1C" w:rsidP="008D6E1C">
            <w:pPr>
              <w:pStyle w:val="LFTTabletext"/>
              <w:spacing w:after="0"/>
              <w:jc w:val="center"/>
              <w:rPr>
                <w:rFonts w:ascii="Calibri" w:hAnsi="Calibri"/>
                <w:szCs w:val="18"/>
              </w:rPr>
            </w:pPr>
            <w:r>
              <w:rPr>
                <w:rFonts w:ascii="Calibri" w:hAnsi="Calibri"/>
                <w:szCs w:val="18"/>
              </w:rPr>
              <w:t>S</w:t>
            </w:r>
            <w:r w:rsidR="00D05802">
              <w:rPr>
                <w:rFonts w:ascii="Calibri" w:hAnsi="Calibri"/>
                <w:szCs w:val="18"/>
              </w:rPr>
              <w:t>mall scale infiltration</w:t>
            </w:r>
          </w:p>
          <w:p w14:paraId="79B19749" w14:textId="0ED1544A" w:rsidR="00D05802" w:rsidRPr="00175054" w:rsidRDefault="004D0DC6" w:rsidP="008D6E1C">
            <w:pPr>
              <w:pStyle w:val="LFTTabletext"/>
              <w:spacing w:after="0"/>
              <w:jc w:val="center"/>
              <w:rPr>
                <w:rFonts w:ascii="Calibri" w:hAnsi="Calibri"/>
                <w:szCs w:val="18"/>
              </w:rPr>
            </w:pPr>
            <w:r>
              <w:rPr>
                <w:rFonts w:ascii="Calibri" w:hAnsi="Calibri"/>
                <w:szCs w:val="18"/>
              </w:rPr>
              <w:t>Micro-bioretention</w:t>
            </w:r>
          </w:p>
        </w:tc>
        <w:tc>
          <w:tcPr>
            <w:tcW w:w="2854" w:type="dxa"/>
            <w:tcBorders>
              <w:top w:val="single" w:sz="4" w:space="0" w:color="auto"/>
              <w:left w:val="single" w:sz="4" w:space="0" w:color="auto"/>
              <w:bottom w:val="single" w:sz="4" w:space="0" w:color="auto"/>
              <w:right w:val="single" w:sz="4" w:space="0" w:color="auto"/>
            </w:tcBorders>
          </w:tcPr>
          <w:p w14:paraId="2D05B3F9" w14:textId="77777777" w:rsidR="00D05802" w:rsidRPr="00175054" w:rsidRDefault="00D05802" w:rsidP="00BC6982">
            <w:pPr>
              <w:shd w:val="clear" w:color="auto" w:fill="FFFFFF"/>
              <w:spacing w:line="216" w:lineRule="auto"/>
              <w:ind w:left="-28"/>
              <w:jc w:val="center"/>
              <w:rPr>
                <w:rFonts w:ascii="Calibri" w:hAnsi="Calibri"/>
                <w:bCs/>
                <w:sz w:val="18"/>
                <w:szCs w:val="18"/>
              </w:rPr>
            </w:pPr>
            <w:r>
              <w:rPr>
                <w:rFonts w:ascii="Calibri" w:hAnsi="Calibri"/>
                <w:bCs/>
                <w:sz w:val="18"/>
                <w:szCs w:val="18"/>
              </w:rPr>
              <w:t>Adequate</w:t>
            </w:r>
          </w:p>
        </w:tc>
        <w:tc>
          <w:tcPr>
            <w:tcW w:w="5067" w:type="dxa"/>
            <w:tcBorders>
              <w:top w:val="single" w:sz="4" w:space="0" w:color="auto"/>
              <w:left w:val="single" w:sz="4" w:space="0" w:color="auto"/>
              <w:bottom w:val="single" w:sz="4" w:space="0" w:color="auto"/>
              <w:right w:val="single" w:sz="4" w:space="0" w:color="auto"/>
            </w:tcBorders>
            <w:hideMark/>
          </w:tcPr>
          <w:p w14:paraId="76245EDF" w14:textId="710BAB88" w:rsidR="005D4B4F" w:rsidRPr="00896BC5" w:rsidRDefault="008D6E1C" w:rsidP="00896BC5">
            <w:pPr>
              <w:pStyle w:val="LFTBullet1"/>
              <w:ind w:left="223" w:hanging="173"/>
              <w:rPr>
                <w:rFonts w:ascii="Calibri" w:hAnsi="Calibri"/>
                <w:bCs/>
                <w:sz w:val="18"/>
                <w:szCs w:val="18"/>
              </w:rPr>
            </w:pPr>
            <w:r w:rsidRPr="00896BC5">
              <w:rPr>
                <w:rFonts w:ascii="Calibri" w:hAnsi="Calibri"/>
                <w:bCs/>
                <w:sz w:val="18"/>
                <w:szCs w:val="18"/>
              </w:rPr>
              <w:t>Create multiple small sized infiltration BMPs to infiltrate</w:t>
            </w:r>
            <w:r w:rsidR="005D4B4F" w:rsidRPr="00896BC5">
              <w:rPr>
                <w:rFonts w:ascii="Calibri" w:hAnsi="Calibri"/>
                <w:bCs/>
                <w:sz w:val="18"/>
                <w:szCs w:val="18"/>
              </w:rPr>
              <w:t xml:space="preserve"> impervious area</w:t>
            </w:r>
            <w:r w:rsidRPr="00896BC5">
              <w:rPr>
                <w:rFonts w:ascii="Calibri" w:hAnsi="Calibri"/>
                <w:bCs/>
                <w:sz w:val="18"/>
                <w:szCs w:val="18"/>
              </w:rPr>
              <w:t>s</w:t>
            </w:r>
            <w:r w:rsidR="005D4B4F" w:rsidRPr="00896BC5">
              <w:rPr>
                <w:rFonts w:ascii="Calibri" w:hAnsi="Calibri"/>
                <w:bCs/>
                <w:sz w:val="18"/>
                <w:szCs w:val="18"/>
              </w:rPr>
              <w:t xml:space="preserve"> of 250 to 2,500 square feet</w:t>
            </w:r>
            <w:r w:rsidRPr="00896BC5">
              <w:rPr>
                <w:rFonts w:ascii="Calibri" w:hAnsi="Calibri"/>
                <w:bCs/>
                <w:sz w:val="18"/>
                <w:szCs w:val="18"/>
              </w:rPr>
              <w:t>.</w:t>
            </w:r>
          </w:p>
          <w:p w14:paraId="4ED61306" w14:textId="2F858AF7" w:rsidR="00D05802" w:rsidRPr="00896BC5" w:rsidRDefault="00D05802" w:rsidP="00896BC5">
            <w:pPr>
              <w:pStyle w:val="LFTBullet1"/>
              <w:ind w:left="223" w:hanging="173"/>
              <w:rPr>
                <w:rFonts w:ascii="Calibri" w:hAnsi="Calibri"/>
                <w:bCs/>
                <w:sz w:val="18"/>
                <w:szCs w:val="18"/>
              </w:rPr>
            </w:pPr>
            <w:r w:rsidRPr="00896BC5">
              <w:rPr>
                <w:rFonts w:ascii="Calibri" w:hAnsi="Calibri"/>
                <w:bCs/>
                <w:sz w:val="18"/>
                <w:szCs w:val="18"/>
              </w:rPr>
              <w:t xml:space="preserve">Not </w:t>
            </w:r>
            <w:r w:rsidR="008D6E1C" w:rsidRPr="00896BC5">
              <w:rPr>
                <w:rFonts w:ascii="Calibri" w:hAnsi="Calibri"/>
                <w:bCs/>
                <w:sz w:val="18"/>
                <w:szCs w:val="18"/>
              </w:rPr>
              <w:t>recommended for sites identified as a</w:t>
            </w:r>
            <w:r w:rsidRPr="00896BC5">
              <w:rPr>
                <w:rFonts w:ascii="Calibri" w:hAnsi="Calibri"/>
                <w:bCs/>
                <w:sz w:val="18"/>
                <w:szCs w:val="18"/>
              </w:rPr>
              <w:t xml:space="preserve"> stormwater hotspot</w:t>
            </w:r>
            <w:r w:rsidR="008A770F" w:rsidRPr="00896BC5">
              <w:rPr>
                <w:rFonts w:ascii="Calibri" w:hAnsi="Calibri"/>
                <w:bCs/>
                <w:sz w:val="18"/>
                <w:szCs w:val="18"/>
              </w:rPr>
              <w:t>.</w:t>
            </w:r>
          </w:p>
        </w:tc>
      </w:tr>
      <w:tr w:rsidR="00D05802" w:rsidRPr="00175054" w14:paraId="3221D22A" w14:textId="77777777" w:rsidTr="004D0DC6">
        <w:trPr>
          <w:trHeight w:val="350"/>
        </w:trPr>
        <w:tc>
          <w:tcPr>
            <w:tcW w:w="1468" w:type="dxa"/>
            <w:tcBorders>
              <w:top w:val="single" w:sz="4" w:space="0" w:color="auto"/>
              <w:left w:val="single" w:sz="4" w:space="0" w:color="auto"/>
              <w:bottom w:val="single" w:sz="4" w:space="0" w:color="auto"/>
              <w:right w:val="single" w:sz="4" w:space="0" w:color="auto"/>
            </w:tcBorders>
          </w:tcPr>
          <w:p w14:paraId="1AFB41B8" w14:textId="3130F049" w:rsidR="00D05802" w:rsidRPr="00175054" w:rsidRDefault="00D05802" w:rsidP="000D6087">
            <w:pPr>
              <w:pStyle w:val="LFTTabletext"/>
              <w:spacing w:after="0"/>
              <w:jc w:val="center"/>
              <w:rPr>
                <w:rFonts w:ascii="Calibri" w:hAnsi="Calibri"/>
                <w:szCs w:val="18"/>
              </w:rPr>
            </w:pPr>
          </w:p>
        </w:tc>
        <w:tc>
          <w:tcPr>
            <w:tcW w:w="2854" w:type="dxa"/>
            <w:tcBorders>
              <w:top w:val="single" w:sz="4" w:space="0" w:color="auto"/>
              <w:left w:val="single" w:sz="4" w:space="0" w:color="auto"/>
              <w:bottom w:val="single" w:sz="4" w:space="0" w:color="auto"/>
              <w:right w:val="single" w:sz="4" w:space="0" w:color="auto"/>
            </w:tcBorders>
          </w:tcPr>
          <w:p w14:paraId="3415002B" w14:textId="3D7EF018" w:rsidR="00D05802" w:rsidRPr="00175054" w:rsidRDefault="00D05802" w:rsidP="00BC6982">
            <w:pPr>
              <w:shd w:val="clear" w:color="auto" w:fill="FFFFFF"/>
              <w:spacing w:line="216" w:lineRule="auto"/>
              <w:ind w:left="-28"/>
              <w:jc w:val="center"/>
              <w:rPr>
                <w:rFonts w:ascii="Calibri" w:hAnsi="Calibri"/>
                <w:bCs/>
                <w:sz w:val="18"/>
                <w:szCs w:val="18"/>
              </w:rPr>
            </w:pPr>
          </w:p>
        </w:tc>
        <w:tc>
          <w:tcPr>
            <w:tcW w:w="5067" w:type="dxa"/>
            <w:tcBorders>
              <w:top w:val="single" w:sz="4" w:space="0" w:color="auto"/>
              <w:left w:val="single" w:sz="4" w:space="0" w:color="auto"/>
              <w:bottom w:val="single" w:sz="4" w:space="0" w:color="auto"/>
              <w:right w:val="single" w:sz="4" w:space="0" w:color="auto"/>
            </w:tcBorders>
          </w:tcPr>
          <w:p w14:paraId="24B440AC" w14:textId="70526016" w:rsidR="00D05802" w:rsidRPr="00896BC5" w:rsidRDefault="00D05802" w:rsidP="00896BC5">
            <w:pPr>
              <w:pStyle w:val="LFTBullet1"/>
              <w:numPr>
                <w:ilvl w:val="0"/>
                <w:numId w:val="0"/>
              </w:numPr>
              <w:ind w:left="223"/>
              <w:rPr>
                <w:rFonts w:ascii="Calibri" w:hAnsi="Calibri"/>
                <w:bCs/>
                <w:sz w:val="18"/>
                <w:szCs w:val="18"/>
              </w:rPr>
            </w:pPr>
          </w:p>
        </w:tc>
      </w:tr>
      <w:tr w:rsidR="00D05802" w:rsidRPr="00175054" w14:paraId="465ED6B8" w14:textId="77777777" w:rsidTr="00D05802">
        <w:trPr>
          <w:trHeight w:val="350"/>
        </w:trPr>
        <w:tc>
          <w:tcPr>
            <w:tcW w:w="1468" w:type="dxa"/>
            <w:tcBorders>
              <w:top w:val="single" w:sz="4" w:space="0" w:color="auto"/>
              <w:left w:val="single" w:sz="4" w:space="0" w:color="auto"/>
              <w:bottom w:val="single" w:sz="4" w:space="0" w:color="auto"/>
              <w:right w:val="single" w:sz="4" w:space="0" w:color="auto"/>
            </w:tcBorders>
            <w:hideMark/>
          </w:tcPr>
          <w:p w14:paraId="56885A44" w14:textId="77777777" w:rsidR="00D05802" w:rsidRPr="00175054" w:rsidRDefault="00D05802" w:rsidP="000D6087">
            <w:pPr>
              <w:pStyle w:val="LFTTabletext"/>
              <w:spacing w:after="0"/>
              <w:jc w:val="center"/>
              <w:rPr>
                <w:rFonts w:ascii="Calibri" w:hAnsi="Calibri"/>
                <w:szCs w:val="18"/>
              </w:rPr>
            </w:pPr>
            <w:r>
              <w:rPr>
                <w:rFonts w:ascii="Calibri" w:hAnsi="Calibri"/>
                <w:szCs w:val="18"/>
              </w:rPr>
              <w:t>Permeable Pavers</w:t>
            </w:r>
          </w:p>
        </w:tc>
        <w:tc>
          <w:tcPr>
            <w:tcW w:w="2854" w:type="dxa"/>
            <w:tcBorders>
              <w:top w:val="single" w:sz="4" w:space="0" w:color="auto"/>
              <w:left w:val="single" w:sz="4" w:space="0" w:color="auto"/>
              <w:bottom w:val="single" w:sz="4" w:space="0" w:color="auto"/>
              <w:right w:val="single" w:sz="4" w:space="0" w:color="auto"/>
            </w:tcBorders>
          </w:tcPr>
          <w:p w14:paraId="47FBC7B5" w14:textId="77777777" w:rsidR="00D05802" w:rsidRPr="00175054" w:rsidRDefault="00D05802" w:rsidP="00BC6982">
            <w:pPr>
              <w:shd w:val="clear" w:color="auto" w:fill="FFFFFF"/>
              <w:spacing w:line="216" w:lineRule="auto"/>
              <w:ind w:left="-28"/>
              <w:jc w:val="center"/>
              <w:rPr>
                <w:rFonts w:ascii="Calibri" w:hAnsi="Calibri"/>
                <w:bCs/>
                <w:sz w:val="18"/>
                <w:szCs w:val="18"/>
              </w:rPr>
            </w:pPr>
            <w:r>
              <w:rPr>
                <w:rFonts w:ascii="Calibri" w:hAnsi="Calibri"/>
                <w:bCs/>
                <w:sz w:val="18"/>
                <w:szCs w:val="18"/>
              </w:rPr>
              <w:t>Adequate</w:t>
            </w:r>
          </w:p>
        </w:tc>
        <w:tc>
          <w:tcPr>
            <w:tcW w:w="5067" w:type="dxa"/>
            <w:tcBorders>
              <w:top w:val="single" w:sz="4" w:space="0" w:color="auto"/>
              <w:left w:val="single" w:sz="4" w:space="0" w:color="auto"/>
              <w:bottom w:val="single" w:sz="4" w:space="0" w:color="auto"/>
              <w:right w:val="single" w:sz="4" w:space="0" w:color="auto"/>
            </w:tcBorders>
            <w:hideMark/>
          </w:tcPr>
          <w:p w14:paraId="21293EE7" w14:textId="77777777" w:rsidR="00D05802" w:rsidRPr="00896BC5" w:rsidRDefault="00D05802" w:rsidP="00896BC5">
            <w:pPr>
              <w:pStyle w:val="LFTBullet1"/>
              <w:numPr>
                <w:ilvl w:val="0"/>
                <w:numId w:val="0"/>
              </w:numPr>
              <w:ind w:left="223"/>
              <w:rPr>
                <w:rFonts w:ascii="Calibri" w:hAnsi="Calibri"/>
                <w:bCs/>
                <w:sz w:val="18"/>
                <w:szCs w:val="18"/>
              </w:rPr>
            </w:pPr>
          </w:p>
        </w:tc>
      </w:tr>
      <w:tr w:rsidR="00D05802" w:rsidRPr="00175054" w14:paraId="7DDEFF2A" w14:textId="77777777" w:rsidTr="00D05802">
        <w:trPr>
          <w:trHeight w:val="350"/>
        </w:trPr>
        <w:tc>
          <w:tcPr>
            <w:tcW w:w="1468" w:type="dxa"/>
            <w:tcBorders>
              <w:top w:val="single" w:sz="4" w:space="0" w:color="auto"/>
              <w:left w:val="single" w:sz="4" w:space="0" w:color="auto"/>
              <w:bottom w:val="single" w:sz="4" w:space="0" w:color="auto"/>
              <w:right w:val="single" w:sz="4" w:space="0" w:color="auto"/>
            </w:tcBorders>
            <w:hideMark/>
          </w:tcPr>
          <w:p w14:paraId="3F603087" w14:textId="77777777" w:rsidR="00D05802" w:rsidRPr="00175054" w:rsidRDefault="00D05802" w:rsidP="000D6087">
            <w:pPr>
              <w:pStyle w:val="LFTTabletext"/>
              <w:spacing w:after="0"/>
              <w:jc w:val="center"/>
              <w:rPr>
                <w:szCs w:val="18"/>
              </w:rPr>
            </w:pPr>
            <w:r w:rsidRPr="00175054">
              <w:rPr>
                <w:rFonts w:ascii="Calibri" w:hAnsi="Calibri"/>
                <w:szCs w:val="18"/>
              </w:rPr>
              <w:t>Infiltration trench or basin</w:t>
            </w:r>
          </w:p>
        </w:tc>
        <w:tc>
          <w:tcPr>
            <w:tcW w:w="2854" w:type="dxa"/>
            <w:tcBorders>
              <w:top w:val="single" w:sz="4" w:space="0" w:color="auto"/>
              <w:left w:val="single" w:sz="4" w:space="0" w:color="auto"/>
              <w:bottom w:val="single" w:sz="4" w:space="0" w:color="auto"/>
              <w:right w:val="single" w:sz="4" w:space="0" w:color="auto"/>
            </w:tcBorders>
          </w:tcPr>
          <w:p w14:paraId="68328328" w14:textId="77777777" w:rsidR="00D05802" w:rsidRPr="00175054" w:rsidRDefault="00D05802" w:rsidP="00BC6982">
            <w:pPr>
              <w:shd w:val="clear" w:color="auto" w:fill="FFFFFF"/>
              <w:spacing w:line="216" w:lineRule="auto"/>
              <w:ind w:left="-28"/>
              <w:jc w:val="center"/>
              <w:rPr>
                <w:rFonts w:ascii="Calibri" w:hAnsi="Calibri"/>
                <w:bCs/>
                <w:sz w:val="18"/>
                <w:szCs w:val="18"/>
              </w:rPr>
            </w:pPr>
          </w:p>
        </w:tc>
        <w:tc>
          <w:tcPr>
            <w:tcW w:w="5067" w:type="dxa"/>
            <w:tcBorders>
              <w:top w:val="single" w:sz="4" w:space="0" w:color="auto"/>
              <w:left w:val="single" w:sz="4" w:space="0" w:color="auto"/>
              <w:bottom w:val="single" w:sz="4" w:space="0" w:color="auto"/>
              <w:right w:val="single" w:sz="4" w:space="0" w:color="auto"/>
            </w:tcBorders>
            <w:hideMark/>
          </w:tcPr>
          <w:p w14:paraId="74DE86BF" w14:textId="233D139F" w:rsidR="00D05802" w:rsidRPr="00896BC5" w:rsidRDefault="00D05802" w:rsidP="00896BC5">
            <w:pPr>
              <w:pStyle w:val="LFTBullet1"/>
              <w:ind w:left="223" w:hanging="173"/>
              <w:rPr>
                <w:rFonts w:ascii="Calibri" w:hAnsi="Calibri"/>
                <w:bCs/>
                <w:sz w:val="18"/>
                <w:szCs w:val="18"/>
              </w:rPr>
            </w:pPr>
            <w:r w:rsidRPr="00896BC5">
              <w:rPr>
                <w:rFonts w:ascii="Calibri" w:hAnsi="Calibri"/>
                <w:bCs/>
                <w:sz w:val="18"/>
                <w:szCs w:val="18"/>
              </w:rPr>
              <w:t>Surface area to depth ratios of practices may need to be larger</w:t>
            </w:r>
            <w:r w:rsidR="004D0DC6" w:rsidRPr="00896BC5">
              <w:rPr>
                <w:rFonts w:ascii="Calibri" w:hAnsi="Calibri"/>
                <w:bCs/>
                <w:sz w:val="18"/>
                <w:szCs w:val="18"/>
              </w:rPr>
              <w:t xml:space="preserve"> than typical basin designs to minimize depth of the BMP</w:t>
            </w:r>
            <w:r w:rsidRPr="00896BC5">
              <w:rPr>
                <w:rFonts w:ascii="Calibri" w:hAnsi="Calibri"/>
                <w:bCs/>
                <w:sz w:val="18"/>
                <w:szCs w:val="18"/>
              </w:rPr>
              <w:t xml:space="preserve">. </w:t>
            </w:r>
          </w:p>
          <w:p w14:paraId="17E438D6" w14:textId="79267654" w:rsidR="00D05802" w:rsidRPr="00896BC5" w:rsidRDefault="004D0DC6" w:rsidP="00896BC5">
            <w:pPr>
              <w:pStyle w:val="LFTBullet1"/>
              <w:ind w:left="223" w:hanging="173"/>
              <w:rPr>
                <w:rFonts w:ascii="Calibri" w:hAnsi="Calibri"/>
                <w:bCs/>
                <w:sz w:val="18"/>
                <w:szCs w:val="18"/>
              </w:rPr>
            </w:pPr>
            <w:r w:rsidRPr="00896BC5">
              <w:rPr>
                <w:rFonts w:ascii="Calibri" w:hAnsi="Calibri"/>
                <w:bCs/>
                <w:sz w:val="18"/>
                <w:szCs w:val="18"/>
              </w:rPr>
              <w:lastRenderedPageBreak/>
              <w:t xml:space="preserve">Confirm suitability </w:t>
            </w:r>
            <w:r w:rsidR="00D05802" w:rsidRPr="00896BC5">
              <w:rPr>
                <w:rFonts w:ascii="Calibri" w:hAnsi="Calibri"/>
                <w:bCs/>
                <w:sz w:val="18"/>
                <w:szCs w:val="18"/>
              </w:rPr>
              <w:t xml:space="preserve"> </w:t>
            </w:r>
            <w:r w:rsidRPr="00896BC5">
              <w:rPr>
                <w:rFonts w:ascii="Calibri" w:hAnsi="Calibri"/>
                <w:bCs/>
                <w:sz w:val="18"/>
                <w:szCs w:val="18"/>
              </w:rPr>
              <w:t xml:space="preserve">with </w:t>
            </w:r>
            <w:r w:rsidR="00D05802" w:rsidRPr="00896BC5">
              <w:rPr>
                <w:rFonts w:ascii="Calibri" w:hAnsi="Calibri"/>
                <w:bCs/>
                <w:sz w:val="18"/>
                <w:szCs w:val="18"/>
              </w:rPr>
              <w:t>supporting geotechnical investigations and calculations</w:t>
            </w:r>
            <w:r w:rsidR="008A770F" w:rsidRPr="00896BC5">
              <w:rPr>
                <w:rFonts w:ascii="Calibri" w:hAnsi="Calibri"/>
                <w:bCs/>
                <w:sz w:val="18"/>
                <w:szCs w:val="18"/>
              </w:rPr>
              <w:t>.</w:t>
            </w:r>
          </w:p>
          <w:p w14:paraId="29652F81" w14:textId="4A9BD01C" w:rsidR="00F53D6B" w:rsidRPr="00896BC5" w:rsidRDefault="00F53D6B" w:rsidP="00896BC5">
            <w:pPr>
              <w:pStyle w:val="LFTBullet1"/>
              <w:ind w:left="223" w:hanging="173"/>
              <w:rPr>
                <w:rFonts w:ascii="Calibri" w:hAnsi="Calibri"/>
                <w:bCs/>
                <w:sz w:val="18"/>
                <w:szCs w:val="18"/>
              </w:rPr>
            </w:pPr>
            <w:r w:rsidRPr="00896BC5">
              <w:rPr>
                <w:rFonts w:ascii="Calibri" w:hAnsi="Calibri"/>
                <w:bCs/>
                <w:sz w:val="18"/>
                <w:szCs w:val="18"/>
              </w:rPr>
              <w:t>Not</w:t>
            </w:r>
            <w:r w:rsidR="004D0DC6" w:rsidRPr="00896BC5">
              <w:rPr>
                <w:rFonts w:ascii="Calibri" w:hAnsi="Calibri"/>
                <w:bCs/>
                <w:sz w:val="18"/>
                <w:szCs w:val="18"/>
              </w:rPr>
              <w:t xml:space="preserve"> recommended for sites identified as a</w:t>
            </w:r>
            <w:r w:rsidRPr="00896BC5">
              <w:rPr>
                <w:rFonts w:ascii="Calibri" w:hAnsi="Calibri"/>
                <w:bCs/>
                <w:sz w:val="18"/>
                <w:szCs w:val="18"/>
              </w:rPr>
              <w:t xml:space="preserve"> stormwater hotspot</w:t>
            </w:r>
            <w:r w:rsidR="00D05802" w:rsidRPr="00896BC5">
              <w:rPr>
                <w:rFonts w:ascii="Calibri" w:hAnsi="Calibri"/>
                <w:bCs/>
                <w:sz w:val="18"/>
                <w:szCs w:val="18"/>
              </w:rPr>
              <w:t>.</w:t>
            </w:r>
          </w:p>
          <w:p w14:paraId="7CAFC329" w14:textId="5D8EFDA6" w:rsidR="00D05802" w:rsidRPr="00896BC5" w:rsidRDefault="004D0DC6" w:rsidP="00896BC5">
            <w:pPr>
              <w:pStyle w:val="LFTBullet1"/>
              <w:ind w:left="223" w:hanging="173"/>
              <w:rPr>
                <w:rFonts w:ascii="Calibri" w:hAnsi="Calibri"/>
                <w:bCs/>
                <w:sz w:val="18"/>
                <w:szCs w:val="18"/>
              </w:rPr>
            </w:pPr>
            <w:r w:rsidRPr="00896BC5">
              <w:rPr>
                <w:rFonts w:ascii="Calibri" w:hAnsi="Calibri"/>
                <w:bCs/>
                <w:sz w:val="18"/>
                <w:szCs w:val="18"/>
              </w:rPr>
              <w:t>Incorporate p</w:t>
            </w:r>
            <w:r w:rsidR="00D05802" w:rsidRPr="00896BC5">
              <w:rPr>
                <w:rFonts w:ascii="Calibri" w:hAnsi="Calibri"/>
                <w:bCs/>
                <w:sz w:val="18"/>
                <w:szCs w:val="18"/>
              </w:rPr>
              <w:t>re-treatment to limit risk of groundwater contamination</w:t>
            </w:r>
            <w:r w:rsidR="00133A26" w:rsidRPr="00896BC5">
              <w:rPr>
                <w:rFonts w:ascii="Calibri" w:hAnsi="Calibri"/>
                <w:bCs/>
                <w:sz w:val="18"/>
                <w:szCs w:val="18"/>
              </w:rPr>
              <w:t xml:space="preserve"> in the event of future failure of the BMP associated with development of a karst feature.</w:t>
            </w:r>
            <w:r w:rsidR="00D05802" w:rsidRPr="00896BC5">
              <w:rPr>
                <w:rFonts w:ascii="Calibri" w:hAnsi="Calibri"/>
                <w:bCs/>
                <w:sz w:val="18"/>
                <w:szCs w:val="18"/>
              </w:rPr>
              <w:t xml:space="preserve"> Local review authority should be consulted for approval</w:t>
            </w:r>
            <w:r w:rsidR="008A770F" w:rsidRPr="00896BC5">
              <w:rPr>
                <w:rFonts w:ascii="Calibri" w:hAnsi="Calibri"/>
                <w:bCs/>
                <w:sz w:val="18"/>
                <w:szCs w:val="18"/>
              </w:rPr>
              <w:t>.</w:t>
            </w:r>
          </w:p>
        </w:tc>
      </w:tr>
      <w:tr w:rsidR="0024722F" w:rsidRPr="00175054" w14:paraId="48B0A455" w14:textId="77777777" w:rsidTr="00D05802">
        <w:tc>
          <w:tcPr>
            <w:tcW w:w="1468" w:type="dxa"/>
            <w:tcBorders>
              <w:top w:val="single" w:sz="4" w:space="0" w:color="auto"/>
              <w:left w:val="single" w:sz="4" w:space="0" w:color="auto"/>
              <w:bottom w:val="single" w:sz="4" w:space="0" w:color="auto"/>
              <w:right w:val="single" w:sz="4" w:space="0" w:color="auto"/>
            </w:tcBorders>
            <w:hideMark/>
          </w:tcPr>
          <w:p w14:paraId="6EEFF773" w14:textId="77777777" w:rsidR="0024722F" w:rsidRPr="00175054" w:rsidRDefault="0024722F" w:rsidP="000D6087">
            <w:pPr>
              <w:pStyle w:val="LFTTabletext"/>
              <w:spacing w:after="0"/>
              <w:jc w:val="center"/>
              <w:rPr>
                <w:szCs w:val="18"/>
              </w:rPr>
            </w:pPr>
            <w:r w:rsidRPr="00175054">
              <w:rPr>
                <w:rFonts w:ascii="Calibri" w:hAnsi="Calibri"/>
                <w:szCs w:val="18"/>
              </w:rPr>
              <w:lastRenderedPageBreak/>
              <w:t>Constructed wetlands</w:t>
            </w:r>
          </w:p>
        </w:tc>
        <w:tc>
          <w:tcPr>
            <w:tcW w:w="2854" w:type="dxa"/>
            <w:tcBorders>
              <w:top w:val="single" w:sz="4" w:space="0" w:color="auto"/>
              <w:left w:val="single" w:sz="4" w:space="0" w:color="auto"/>
              <w:bottom w:val="single" w:sz="4" w:space="0" w:color="auto"/>
              <w:right w:val="single" w:sz="4" w:space="0" w:color="auto"/>
            </w:tcBorders>
          </w:tcPr>
          <w:p w14:paraId="06F4E719" w14:textId="77777777" w:rsidR="0024722F" w:rsidRPr="00910287" w:rsidRDefault="0024722F" w:rsidP="00BC6982">
            <w:pPr>
              <w:shd w:val="clear" w:color="auto" w:fill="FFFFFF"/>
              <w:spacing w:line="216" w:lineRule="auto"/>
              <w:jc w:val="center"/>
              <w:rPr>
                <w:rFonts w:ascii="Calibri" w:hAnsi="Calibri"/>
                <w:bCs/>
                <w:sz w:val="18"/>
                <w:szCs w:val="18"/>
              </w:rPr>
            </w:pPr>
            <w:r>
              <w:rPr>
                <w:rFonts w:ascii="Calibri" w:hAnsi="Calibri"/>
                <w:bCs/>
                <w:sz w:val="18"/>
                <w:szCs w:val="18"/>
              </w:rPr>
              <w:t>Adequate</w:t>
            </w:r>
          </w:p>
        </w:tc>
        <w:tc>
          <w:tcPr>
            <w:tcW w:w="5067" w:type="dxa"/>
            <w:tcBorders>
              <w:top w:val="single" w:sz="4" w:space="0" w:color="auto"/>
              <w:left w:val="single" w:sz="4" w:space="0" w:color="auto"/>
              <w:bottom w:val="single" w:sz="4" w:space="0" w:color="auto"/>
              <w:right w:val="single" w:sz="4" w:space="0" w:color="auto"/>
            </w:tcBorders>
            <w:hideMark/>
          </w:tcPr>
          <w:p w14:paraId="7C526858" w14:textId="5EEE6062" w:rsidR="0024722F" w:rsidRPr="00896BC5" w:rsidRDefault="00133A26" w:rsidP="00896BC5">
            <w:pPr>
              <w:pStyle w:val="LFTBullet1"/>
              <w:ind w:left="219" w:hanging="177"/>
              <w:rPr>
                <w:rFonts w:ascii="Calibri" w:hAnsi="Calibri"/>
                <w:sz w:val="18"/>
                <w:szCs w:val="18"/>
              </w:rPr>
            </w:pPr>
            <w:r w:rsidRPr="00896BC5">
              <w:rPr>
                <w:rFonts w:ascii="Calibri" w:hAnsi="Calibri"/>
                <w:sz w:val="18"/>
                <w:szCs w:val="18"/>
              </w:rPr>
              <w:t>R</w:t>
            </w:r>
            <w:r w:rsidR="0024722F" w:rsidRPr="00896BC5">
              <w:rPr>
                <w:rFonts w:ascii="Calibri" w:hAnsi="Calibri"/>
                <w:sz w:val="18"/>
                <w:szCs w:val="18"/>
              </w:rPr>
              <w:t>equire</w:t>
            </w:r>
            <w:r w:rsidRPr="00896BC5">
              <w:rPr>
                <w:rFonts w:ascii="Calibri" w:hAnsi="Calibri"/>
                <w:sz w:val="18"/>
                <w:szCs w:val="18"/>
              </w:rPr>
              <w:t>s</w:t>
            </w:r>
            <w:r w:rsidR="0024722F" w:rsidRPr="00896BC5">
              <w:rPr>
                <w:rFonts w:ascii="Calibri" w:hAnsi="Calibri"/>
                <w:sz w:val="18"/>
                <w:szCs w:val="18"/>
              </w:rPr>
              <w:t xml:space="preserve"> larger surface area to drainage area ratios</w:t>
            </w:r>
            <w:r w:rsidRPr="00896BC5">
              <w:rPr>
                <w:rFonts w:ascii="Calibri" w:hAnsi="Calibri"/>
                <w:sz w:val="18"/>
                <w:szCs w:val="18"/>
              </w:rPr>
              <w:t xml:space="preserve"> to limit the depth of the wetland</w:t>
            </w:r>
            <w:r w:rsidR="0024722F" w:rsidRPr="00896BC5">
              <w:rPr>
                <w:rFonts w:ascii="Calibri" w:hAnsi="Calibri"/>
                <w:sz w:val="18"/>
                <w:szCs w:val="18"/>
              </w:rPr>
              <w:t>.</w:t>
            </w:r>
          </w:p>
          <w:p w14:paraId="0079F601" w14:textId="152558AE" w:rsidR="0024722F" w:rsidRPr="00896BC5" w:rsidRDefault="0024722F" w:rsidP="00896BC5">
            <w:pPr>
              <w:pStyle w:val="LFTBullet1"/>
              <w:ind w:left="219" w:hanging="177"/>
              <w:rPr>
                <w:rFonts w:ascii="Calibri" w:hAnsi="Calibri"/>
                <w:sz w:val="18"/>
                <w:szCs w:val="18"/>
              </w:rPr>
            </w:pPr>
            <w:r w:rsidRPr="00896BC5">
              <w:rPr>
                <w:rFonts w:ascii="Calibri" w:hAnsi="Calibri"/>
                <w:sz w:val="18"/>
                <w:szCs w:val="18"/>
              </w:rPr>
              <w:t>Bedrock should act like a liner and help to maintain a permanent pool, unless fracture zone is present</w:t>
            </w:r>
            <w:r w:rsidR="008A770F" w:rsidRPr="00896BC5">
              <w:rPr>
                <w:rFonts w:ascii="Calibri" w:hAnsi="Calibri"/>
                <w:sz w:val="18"/>
                <w:szCs w:val="18"/>
              </w:rPr>
              <w:t>.</w:t>
            </w:r>
          </w:p>
          <w:p w14:paraId="61DF258E" w14:textId="54C7CD12" w:rsidR="0024722F" w:rsidRPr="00896BC5" w:rsidRDefault="0024722F" w:rsidP="00896BC5">
            <w:pPr>
              <w:pStyle w:val="LFTBullet1"/>
              <w:ind w:left="219" w:hanging="177"/>
              <w:rPr>
                <w:rFonts w:ascii="Calibri" w:hAnsi="Calibri"/>
                <w:sz w:val="18"/>
                <w:szCs w:val="18"/>
              </w:rPr>
            </w:pPr>
            <w:r w:rsidRPr="00896BC5">
              <w:rPr>
                <w:rFonts w:ascii="Calibri" w:hAnsi="Calibri"/>
                <w:sz w:val="18"/>
                <w:szCs w:val="18"/>
              </w:rPr>
              <w:t>Use liner and liner cells</w:t>
            </w:r>
            <w:r w:rsidR="008A770F" w:rsidRPr="00896BC5">
              <w:rPr>
                <w:rFonts w:ascii="Calibri" w:hAnsi="Calibri"/>
                <w:sz w:val="18"/>
                <w:szCs w:val="18"/>
              </w:rPr>
              <w:t>.</w:t>
            </w:r>
          </w:p>
        </w:tc>
      </w:tr>
      <w:tr w:rsidR="0024722F" w:rsidRPr="00175054" w14:paraId="0A6B857F" w14:textId="77777777" w:rsidTr="00D05802">
        <w:tc>
          <w:tcPr>
            <w:tcW w:w="1468" w:type="dxa"/>
            <w:tcBorders>
              <w:top w:val="single" w:sz="4" w:space="0" w:color="auto"/>
              <w:left w:val="single" w:sz="4" w:space="0" w:color="auto"/>
              <w:bottom w:val="single" w:sz="4" w:space="0" w:color="auto"/>
              <w:right w:val="single" w:sz="4" w:space="0" w:color="auto"/>
            </w:tcBorders>
            <w:hideMark/>
          </w:tcPr>
          <w:p w14:paraId="3B9D3DD3" w14:textId="73856BE3" w:rsidR="0024722F" w:rsidRPr="00175054" w:rsidRDefault="00696270" w:rsidP="000D6087">
            <w:pPr>
              <w:pStyle w:val="LFTTabletext"/>
              <w:spacing w:after="0"/>
              <w:jc w:val="center"/>
              <w:rPr>
                <w:szCs w:val="18"/>
              </w:rPr>
            </w:pPr>
            <w:r>
              <w:rPr>
                <w:rFonts w:ascii="Calibri" w:hAnsi="Calibri"/>
                <w:szCs w:val="18"/>
              </w:rPr>
              <w:t>Dry extended detention (ED) ponds and wet ponds</w:t>
            </w:r>
          </w:p>
        </w:tc>
        <w:tc>
          <w:tcPr>
            <w:tcW w:w="2854" w:type="dxa"/>
            <w:tcBorders>
              <w:top w:val="single" w:sz="4" w:space="0" w:color="auto"/>
              <w:left w:val="single" w:sz="4" w:space="0" w:color="auto"/>
              <w:bottom w:val="single" w:sz="4" w:space="0" w:color="auto"/>
              <w:right w:val="single" w:sz="4" w:space="0" w:color="auto"/>
            </w:tcBorders>
          </w:tcPr>
          <w:p w14:paraId="1A59A58A" w14:textId="309AA46E" w:rsidR="0024722F" w:rsidRPr="00910287" w:rsidRDefault="00133A26" w:rsidP="00BC6982">
            <w:pPr>
              <w:spacing w:line="216" w:lineRule="auto"/>
              <w:jc w:val="center"/>
              <w:rPr>
                <w:rFonts w:ascii="Calibri" w:hAnsi="Calibri"/>
                <w:bCs/>
                <w:sz w:val="18"/>
                <w:szCs w:val="18"/>
              </w:rPr>
            </w:pPr>
            <w:r>
              <w:rPr>
                <w:rFonts w:ascii="Calibri" w:hAnsi="Calibri"/>
                <w:bCs/>
                <w:sz w:val="18"/>
                <w:szCs w:val="18"/>
              </w:rPr>
              <w:t>Adequate</w:t>
            </w:r>
          </w:p>
        </w:tc>
        <w:tc>
          <w:tcPr>
            <w:tcW w:w="5067" w:type="dxa"/>
            <w:tcBorders>
              <w:top w:val="single" w:sz="4" w:space="0" w:color="auto"/>
              <w:left w:val="single" w:sz="4" w:space="0" w:color="auto"/>
              <w:bottom w:val="single" w:sz="4" w:space="0" w:color="auto"/>
              <w:right w:val="single" w:sz="4" w:space="0" w:color="auto"/>
            </w:tcBorders>
            <w:hideMark/>
          </w:tcPr>
          <w:p w14:paraId="582B265C" w14:textId="75E9DDCB" w:rsidR="0024722F" w:rsidRPr="00896BC5" w:rsidRDefault="00133A26" w:rsidP="00896BC5">
            <w:pPr>
              <w:pStyle w:val="LFTBullet1"/>
              <w:ind w:left="219" w:hanging="177"/>
              <w:rPr>
                <w:rFonts w:ascii="Calibri" w:hAnsi="Calibri"/>
                <w:sz w:val="18"/>
                <w:szCs w:val="18"/>
              </w:rPr>
            </w:pPr>
            <w:r w:rsidRPr="00896BC5">
              <w:rPr>
                <w:rFonts w:ascii="Calibri" w:hAnsi="Calibri"/>
                <w:sz w:val="18"/>
                <w:szCs w:val="18"/>
              </w:rPr>
              <w:t xml:space="preserve">Requires larger surface area to drainage area ratios to limit the depth of the basin or pond. </w:t>
            </w:r>
            <w:r w:rsidR="00E31127" w:rsidRPr="00896BC5">
              <w:rPr>
                <w:rFonts w:ascii="Calibri" w:hAnsi="Calibri"/>
                <w:sz w:val="18"/>
                <w:szCs w:val="18"/>
              </w:rPr>
              <w:t>If analysis shows that the soils can support the we</w:t>
            </w:r>
            <w:r w:rsidRPr="00896BC5">
              <w:rPr>
                <w:rFonts w:ascii="Calibri" w:hAnsi="Calibri"/>
                <w:sz w:val="18"/>
                <w:szCs w:val="18"/>
              </w:rPr>
              <w:t>i</w:t>
            </w:r>
            <w:r w:rsidR="00E31127" w:rsidRPr="00896BC5">
              <w:rPr>
                <w:rFonts w:ascii="Calibri" w:hAnsi="Calibri"/>
                <w:sz w:val="18"/>
                <w:szCs w:val="18"/>
              </w:rPr>
              <w:t xml:space="preserve">ght of a pond then </w:t>
            </w:r>
            <w:r w:rsidRPr="00896BC5">
              <w:rPr>
                <w:rFonts w:ascii="Calibri" w:hAnsi="Calibri"/>
                <w:sz w:val="18"/>
                <w:szCs w:val="18"/>
              </w:rPr>
              <w:t xml:space="preserve">a </w:t>
            </w:r>
            <w:r w:rsidR="0024722F" w:rsidRPr="00896BC5">
              <w:rPr>
                <w:rFonts w:ascii="Calibri" w:hAnsi="Calibri"/>
                <w:sz w:val="18"/>
                <w:szCs w:val="18"/>
              </w:rPr>
              <w:t>liner should be used</w:t>
            </w:r>
            <w:r w:rsidR="008A770F" w:rsidRPr="00896BC5">
              <w:rPr>
                <w:rFonts w:ascii="Calibri" w:hAnsi="Calibri"/>
                <w:sz w:val="18"/>
                <w:szCs w:val="18"/>
              </w:rPr>
              <w:t>.</w:t>
            </w:r>
            <w:r w:rsidR="00E31127" w:rsidRPr="00896BC5">
              <w:rPr>
                <w:rFonts w:ascii="Calibri" w:hAnsi="Calibri"/>
                <w:sz w:val="18"/>
                <w:szCs w:val="18"/>
              </w:rPr>
              <w:t>to prevent infiltration</w:t>
            </w:r>
          </w:p>
        </w:tc>
      </w:tr>
      <w:tr w:rsidR="0024722F" w:rsidRPr="00175054" w14:paraId="6C20E12C" w14:textId="77777777" w:rsidTr="00D05802">
        <w:trPr>
          <w:trHeight w:val="998"/>
        </w:trPr>
        <w:tc>
          <w:tcPr>
            <w:tcW w:w="1468" w:type="dxa"/>
            <w:tcBorders>
              <w:top w:val="single" w:sz="4" w:space="0" w:color="auto"/>
              <w:left w:val="single" w:sz="4" w:space="0" w:color="auto"/>
              <w:bottom w:val="single" w:sz="4" w:space="0" w:color="auto"/>
              <w:right w:val="single" w:sz="4" w:space="0" w:color="auto"/>
            </w:tcBorders>
            <w:shd w:val="clear" w:color="auto" w:fill="auto"/>
            <w:hideMark/>
          </w:tcPr>
          <w:p w14:paraId="59ED0618" w14:textId="77777777" w:rsidR="0024722F" w:rsidRPr="00175054" w:rsidRDefault="0024722F" w:rsidP="000D6087">
            <w:pPr>
              <w:pStyle w:val="LFTTabletext"/>
              <w:spacing w:after="0"/>
              <w:jc w:val="center"/>
              <w:rPr>
                <w:szCs w:val="18"/>
              </w:rPr>
            </w:pPr>
            <w:r>
              <w:rPr>
                <w:szCs w:val="18"/>
              </w:rPr>
              <w:t>Wet swale</w:t>
            </w:r>
          </w:p>
        </w:tc>
        <w:tc>
          <w:tcPr>
            <w:tcW w:w="2854" w:type="dxa"/>
            <w:tcBorders>
              <w:top w:val="single" w:sz="4" w:space="0" w:color="auto"/>
              <w:left w:val="single" w:sz="4" w:space="0" w:color="auto"/>
              <w:bottom w:val="single" w:sz="4" w:space="0" w:color="auto"/>
              <w:right w:val="single" w:sz="4" w:space="0" w:color="auto"/>
            </w:tcBorders>
          </w:tcPr>
          <w:p w14:paraId="750F9FF5" w14:textId="77777777" w:rsidR="0024722F" w:rsidRPr="00910287" w:rsidRDefault="00D3030E" w:rsidP="00BC6982">
            <w:pPr>
              <w:shd w:val="clear" w:color="auto" w:fill="FFFFFF"/>
              <w:spacing w:line="216" w:lineRule="auto"/>
              <w:jc w:val="center"/>
              <w:rPr>
                <w:rFonts w:ascii="Calibri" w:hAnsi="Calibri"/>
                <w:bCs/>
                <w:sz w:val="18"/>
                <w:szCs w:val="18"/>
              </w:rPr>
            </w:pPr>
            <w:r>
              <w:rPr>
                <w:rFonts w:ascii="Calibri" w:hAnsi="Calibri"/>
                <w:bCs/>
                <w:sz w:val="18"/>
                <w:szCs w:val="18"/>
              </w:rPr>
              <w:t>Discouraged</w:t>
            </w:r>
          </w:p>
        </w:tc>
        <w:tc>
          <w:tcPr>
            <w:tcW w:w="5067" w:type="dxa"/>
            <w:tcBorders>
              <w:top w:val="single" w:sz="4" w:space="0" w:color="auto"/>
              <w:left w:val="single" w:sz="4" w:space="0" w:color="auto"/>
              <w:bottom w:val="single" w:sz="4" w:space="0" w:color="auto"/>
              <w:right w:val="single" w:sz="4" w:space="0" w:color="auto"/>
            </w:tcBorders>
            <w:hideMark/>
          </w:tcPr>
          <w:p w14:paraId="737860A7" w14:textId="4890A012" w:rsidR="0024722F" w:rsidRPr="00896BC5" w:rsidRDefault="0024722F" w:rsidP="00896BC5">
            <w:pPr>
              <w:pStyle w:val="LFTBullet1"/>
              <w:ind w:left="219" w:hanging="177"/>
              <w:rPr>
                <w:rFonts w:ascii="Calibri" w:hAnsi="Calibri"/>
                <w:sz w:val="18"/>
                <w:szCs w:val="18"/>
              </w:rPr>
            </w:pPr>
            <w:r w:rsidRPr="00896BC5">
              <w:rPr>
                <w:rFonts w:ascii="Calibri" w:hAnsi="Calibri"/>
                <w:sz w:val="18"/>
                <w:szCs w:val="18"/>
              </w:rPr>
              <w:t>Not feasible</w:t>
            </w:r>
            <w:r w:rsidR="008A770F" w:rsidRPr="00896BC5">
              <w:rPr>
                <w:rFonts w:ascii="Calibri" w:hAnsi="Calibri"/>
                <w:sz w:val="18"/>
                <w:szCs w:val="18"/>
              </w:rPr>
              <w:t>.</w:t>
            </w:r>
          </w:p>
        </w:tc>
      </w:tr>
      <w:tr w:rsidR="0024722F" w:rsidRPr="00175054" w14:paraId="51474DCE" w14:textId="77777777" w:rsidTr="00D05802">
        <w:trPr>
          <w:trHeight w:val="998"/>
        </w:trPr>
        <w:tc>
          <w:tcPr>
            <w:tcW w:w="1468" w:type="dxa"/>
            <w:tcBorders>
              <w:top w:val="single" w:sz="4" w:space="0" w:color="auto"/>
              <w:left w:val="single" w:sz="4" w:space="0" w:color="auto"/>
              <w:bottom w:val="single" w:sz="4" w:space="0" w:color="auto"/>
              <w:right w:val="single" w:sz="4" w:space="0" w:color="auto"/>
            </w:tcBorders>
            <w:shd w:val="clear" w:color="auto" w:fill="auto"/>
            <w:hideMark/>
          </w:tcPr>
          <w:p w14:paraId="446B5496" w14:textId="77777777" w:rsidR="0024722F" w:rsidRPr="00175054" w:rsidRDefault="0024722F" w:rsidP="000D6087">
            <w:pPr>
              <w:pStyle w:val="LFTTabletext"/>
              <w:spacing w:after="0"/>
              <w:jc w:val="center"/>
              <w:rPr>
                <w:szCs w:val="18"/>
              </w:rPr>
            </w:pPr>
            <w:r>
              <w:rPr>
                <w:szCs w:val="18"/>
              </w:rPr>
              <w:t>Large scale infiltration</w:t>
            </w:r>
          </w:p>
        </w:tc>
        <w:tc>
          <w:tcPr>
            <w:tcW w:w="2854" w:type="dxa"/>
            <w:tcBorders>
              <w:top w:val="single" w:sz="4" w:space="0" w:color="auto"/>
              <w:left w:val="single" w:sz="4" w:space="0" w:color="auto"/>
              <w:bottom w:val="single" w:sz="4" w:space="0" w:color="auto"/>
              <w:right w:val="single" w:sz="4" w:space="0" w:color="auto"/>
            </w:tcBorders>
          </w:tcPr>
          <w:p w14:paraId="6498E538" w14:textId="77777777" w:rsidR="0024722F" w:rsidRPr="00910287" w:rsidRDefault="00D3030E" w:rsidP="00BC6982">
            <w:pPr>
              <w:shd w:val="clear" w:color="auto" w:fill="FFFFFF"/>
              <w:spacing w:line="216" w:lineRule="auto"/>
              <w:jc w:val="center"/>
              <w:rPr>
                <w:rFonts w:ascii="Calibri" w:hAnsi="Calibri"/>
                <w:bCs/>
                <w:sz w:val="18"/>
                <w:szCs w:val="18"/>
              </w:rPr>
            </w:pPr>
            <w:r>
              <w:rPr>
                <w:rFonts w:ascii="Calibri" w:hAnsi="Calibri"/>
                <w:bCs/>
                <w:sz w:val="18"/>
                <w:szCs w:val="18"/>
              </w:rPr>
              <w:t>Discouraged</w:t>
            </w:r>
          </w:p>
        </w:tc>
        <w:tc>
          <w:tcPr>
            <w:tcW w:w="5067" w:type="dxa"/>
            <w:tcBorders>
              <w:top w:val="single" w:sz="4" w:space="0" w:color="auto"/>
              <w:left w:val="single" w:sz="4" w:space="0" w:color="auto"/>
              <w:bottom w:val="single" w:sz="4" w:space="0" w:color="auto"/>
              <w:right w:val="single" w:sz="4" w:space="0" w:color="auto"/>
            </w:tcBorders>
            <w:hideMark/>
          </w:tcPr>
          <w:p w14:paraId="589E704E" w14:textId="6F599BF7" w:rsidR="0024722F" w:rsidRPr="00896BC5" w:rsidRDefault="0024722F" w:rsidP="00896BC5">
            <w:pPr>
              <w:pStyle w:val="LFTBullet1"/>
              <w:ind w:left="219" w:hanging="177"/>
              <w:rPr>
                <w:rFonts w:ascii="Calibri" w:hAnsi="Calibri"/>
                <w:sz w:val="18"/>
                <w:szCs w:val="18"/>
              </w:rPr>
            </w:pPr>
            <w:r w:rsidRPr="00896BC5">
              <w:rPr>
                <w:rFonts w:ascii="Calibri" w:hAnsi="Calibri"/>
                <w:sz w:val="18"/>
                <w:szCs w:val="18"/>
              </w:rPr>
              <w:t>Use small scale infiltration practices instead</w:t>
            </w:r>
            <w:r w:rsidR="008A770F" w:rsidRPr="00896BC5">
              <w:rPr>
                <w:rFonts w:ascii="Calibri" w:hAnsi="Calibri"/>
                <w:sz w:val="18"/>
                <w:szCs w:val="18"/>
              </w:rPr>
              <w:t>.</w:t>
            </w:r>
          </w:p>
        </w:tc>
      </w:tr>
      <w:tr w:rsidR="0024722F" w:rsidRPr="00175054" w14:paraId="6157D28F" w14:textId="77777777" w:rsidTr="000D6087">
        <w:tc>
          <w:tcPr>
            <w:tcW w:w="9389" w:type="dxa"/>
            <w:gridSpan w:val="3"/>
            <w:tcBorders>
              <w:top w:val="single" w:sz="4" w:space="0" w:color="auto"/>
              <w:left w:val="single" w:sz="4" w:space="0" w:color="auto"/>
              <w:bottom w:val="single" w:sz="4" w:space="0" w:color="auto"/>
              <w:right w:val="single" w:sz="4" w:space="0" w:color="auto"/>
            </w:tcBorders>
          </w:tcPr>
          <w:p w14:paraId="3780C023" w14:textId="539CC637" w:rsidR="0024722F" w:rsidRPr="00175054" w:rsidRDefault="0024722F" w:rsidP="0024722F">
            <w:pPr>
              <w:pStyle w:val="LFTTabletext"/>
              <w:spacing w:after="0"/>
              <w:rPr>
                <w:szCs w:val="18"/>
              </w:rPr>
            </w:pPr>
            <w:r w:rsidRPr="00175054">
              <w:rPr>
                <w:szCs w:val="18"/>
              </w:rPr>
              <w:t>Source</w:t>
            </w:r>
            <w:r>
              <w:rPr>
                <w:szCs w:val="18"/>
              </w:rPr>
              <w:t>s Karst Working Group, 2009; Minnesota Stormwater Wiki</w:t>
            </w:r>
            <w:r w:rsidR="00EF6CE5">
              <w:rPr>
                <w:szCs w:val="18"/>
              </w:rPr>
              <w:t>; Tennessee Permanent Stormwater Management and Design Guidance.</w:t>
            </w:r>
          </w:p>
        </w:tc>
      </w:tr>
    </w:tbl>
    <w:p w14:paraId="1EFFF523" w14:textId="77777777" w:rsidR="00F53D6B" w:rsidRPr="00D040CD" w:rsidRDefault="00F53D6B" w:rsidP="00C66CED">
      <w:pPr>
        <w:pStyle w:val="LFTBody"/>
      </w:pPr>
      <w:bookmarkStart w:id="16" w:name="_Toc395180876"/>
    </w:p>
    <w:p w14:paraId="5C6BF79C" w14:textId="4B5D51FB" w:rsidR="001F046A" w:rsidRPr="000902BF" w:rsidRDefault="00C66CED" w:rsidP="00C66CED">
      <w:pPr>
        <w:pStyle w:val="LFTHeading3"/>
      </w:pPr>
      <w:bookmarkStart w:id="17" w:name="_Toc395180879"/>
      <w:bookmarkEnd w:id="16"/>
      <w:r w:rsidRPr="000902BF">
        <w:t xml:space="preserve">2.6.5 </w:t>
      </w:r>
      <w:r w:rsidR="001F046A" w:rsidRPr="000902BF">
        <w:t xml:space="preserve">Monitoring of </w:t>
      </w:r>
      <w:r w:rsidR="00E56284">
        <w:t>Groundwater and Stormwater Runoff</w:t>
      </w:r>
      <w:r w:rsidR="00E56284" w:rsidRPr="000902BF">
        <w:t xml:space="preserve"> </w:t>
      </w:r>
      <w:r w:rsidR="001F046A" w:rsidRPr="000902BF">
        <w:t>in Karst Regions</w:t>
      </w:r>
      <w:bookmarkEnd w:id="17"/>
    </w:p>
    <w:p w14:paraId="350708D8" w14:textId="24773575" w:rsidR="00C66CED" w:rsidRDefault="001F046A" w:rsidP="004524E2">
      <w:pPr>
        <w:pStyle w:val="LFTBody"/>
      </w:pPr>
      <w:r w:rsidRPr="000902BF">
        <w:t>A water quality monitoring system installed, operated</w:t>
      </w:r>
      <w:r w:rsidR="00045D1E">
        <w:t>,</w:t>
      </w:r>
      <w:r w:rsidRPr="000902BF">
        <w:t xml:space="preserve"> and maintained by the owner/operator </w:t>
      </w:r>
      <w:r w:rsidR="00133A26">
        <w:t>is RECOMMENDED</w:t>
      </w:r>
      <w:r w:rsidRPr="000902BF">
        <w:t xml:space="preserve">, particularly where drinking water supplies are derived from ground water or </w:t>
      </w:r>
      <w:r w:rsidR="00133A26">
        <w:t>associated</w:t>
      </w:r>
      <w:r w:rsidRPr="000902BF">
        <w:t xml:space="preserve"> with known sources of contamination. The location of monitoring wells or BMP performance monitoring will depend upon the nature of the BMP and surrounding karst characteristics. </w:t>
      </w:r>
      <w:r w:rsidR="00133A26">
        <w:t>T</w:t>
      </w:r>
      <w:r w:rsidRPr="000902BF">
        <w:t>his could mean the installation of a monitoring system designed to reflect variable water behavior typical of karst water flow</w:t>
      </w:r>
      <w:r w:rsidR="00133A26">
        <w:t xml:space="preserve"> in addition to the monitoring of the performance of the BMP</w:t>
      </w:r>
      <w:r w:rsidRPr="000902BF">
        <w:t xml:space="preserve">. </w:t>
      </w:r>
      <w:r w:rsidR="00133A26">
        <w:t>Monitoring of</w:t>
      </w:r>
      <w:r w:rsidRPr="000902BF">
        <w:t xml:space="preserve"> </w:t>
      </w:r>
      <w:r w:rsidR="00E154BE">
        <w:t>groundwater and stormwater runoff</w:t>
      </w:r>
      <w:r w:rsidR="00E154BE" w:rsidRPr="000902BF">
        <w:t xml:space="preserve"> </w:t>
      </w:r>
      <w:r w:rsidRPr="000902BF">
        <w:t xml:space="preserve">behavior </w:t>
      </w:r>
      <w:r w:rsidR="00133A26">
        <w:t xml:space="preserve">requires </w:t>
      </w:r>
      <w:r w:rsidRPr="000902BF">
        <w:t>a thorough understanding of the local geology</w:t>
      </w:r>
      <w:r w:rsidR="00045D1E">
        <w:t>,</w:t>
      </w:r>
      <w:r w:rsidR="00096CCE">
        <w:t xml:space="preserve"> </w:t>
      </w:r>
      <w:r w:rsidR="00E154BE">
        <w:t xml:space="preserve">as </w:t>
      </w:r>
      <w:r w:rsidR="001145E6">
        <w:t xml:space="preserve">the hydrology of karst </w:t>
      </w:r>
      <w:r w:rsidR="00133A26">
        <w:t>terrains</w:t>
      </w:r>
      <w:r w:rsidR="001145E6">
        <w:t xml:space="preserve"> is vastly different from that of non-karst </w:t>
      </w:r>
      <w:r w:rsidR="007836CE" w:rsidRPr="00F47691">
        <w:t>terrains</w:t>
      </w:r>
      <w:r w:rsidR="00096CCE" w:rsidRPr="00F47691">
        <w:t xml:space="preserve"> (</w:t>
      </w:r>
      <w:r w:rsidR="00096CCE" w:rsidRPr="00346564">
        <w:t>EPA, 1989</w:t>
      </w:r>
      <w:r w:rsidR="00096CCE" w:rsidRPr="00F47691">
        <w:t>)</w:t>
      </w:r>
      <w:r w:rsidR="004524E2" w:rsidRPr="00F47691">
        <w:t>.</w:t>
      </w:r>
      <w:r w:rsidR="00D02CE9" w:rsidRPr="00F47691">
        <w:t xml:space="preserve"> </w:t>
      </w:r>
      <w:r w:rsidR="00D02CE9">
        <w:t>Below is a list of resources</w:t>
      </w:r>
      <w:r w:rsidR="00045D1E">
        <w:t xml:space="preserve"> that</w:t>
      </w:r>
      <w:r w:rsidR="00D02CE9">
        <w:t xml:space="preserve"> provide additional information on runoff and/or groundwater monitoring in karst areas:</w:t>
      </w:r>
    </w:p>
    <w:p w14:paraId="74C735AD" w14:textId="3CC9CAD6" w:rsidR="00D02CE9" w:rsidRDefault="00F23DB4" w:rsidP="00346564">
      <w:pPr>
        <w:pStyle w:val="LFTBody"/>
        <w:numPr>
          <w:ilvl w:val="0"/>
          <w:numId w:val="21"/>
        </w:numPr>
      </w:pPr>
      <w:hyperlink r:id="rId72" w:history="1">
        <w:r w:rsidR="00D02CE9" w:rsidRPr="00D02CE9">
          <w:rPr>
            <w:rStyle w:val="Hyperlink"/>
            <w:b/>
          </w:rPr>
          <w:t xml:space="preserve">Ground-Water Monitoring in Karst </w:t>
        </w:r>
        <w:r w:rsidR="00CB4658" w:rsidRPr="00D02CE9">
          <w:rPr>
            <w:rStyle w:val="Hyperlink"/>
            <w:b/>
          </w:rPr>
          <w:t>Terrains</w:t>
        </w:r>
        <w:r w:rsidR="00D02CE9" w:rsidRPr="00D02CE9">
          <w:rPr>
            <w:rStyle w:val="Hyperlink"/>
            <w:b/>
          </w:rPr>
          <w:t>: Recommended Protocols &amp; Implicit Assumptions</w:t>
        </w:r>
      </w:hyperlink>
      <w:r w:rsidR="00D02CE9" w:rsidRPr="00D02CE9">
        <w:rPr>
          <w:b/>
        </w:rPr>
        <w:t xml:space="preserve"> </w:t>
      </w:r>
      <w:r w:rsidR="00D02CE9">
        <w:t>(</w:t>
      </w:r>
      <w:r w:rsidR="00D02CE9" w:rsidRPr="00346564">
        <w:t>EPA, 1989</w:t>
      </w:r>
      <w:r w:rsidR="00D02CE9">
        <w:t>).</w:t>
      </w:r>
      <w:r w:rsidR="00096CCE">
        <w:t xml:space="preserve"> This report provides information on the monitoring procedures and common monitoring pitfalls in karst areas. It describes where to monitor for pollutants, where to monitor for background water quality, when to monitor the groundwater, and how to do all this reliably and economically.</w:t>
      </w:r>
    </w:p>
    <w:p w14:paraId="0FBCE499" w14:textId="7341CE56" w:rsidR="00C55F6C" w:rsidRDefault="00C55F6C" w:rsidP="00346564">
      <w:pPr>
        <w:pStyle w:val="LFTBody"/>
        <w:numPr>
          <w:ilvl w:val="0"/>
          <w:numId w:val="21"/>
        </w:numPr>
      </w:pPr>
      <w:r w:rsidRPr="00D6628E">
        <w:rPr>
          <w:b/>
        </w:rPr>
        <w:t>Highway Stormwater Runoff in Karst Areas – Preliminary Results of Baseline Monitoring and Design of a Treatment System for a Sinkhole in Knoxville Texas</w:t>
      </w:r>
      <w:r>
        <w:t xml:space="preserve"> (Stephenson et al., 1999)</w:t>
      </w:r>
      <w:r w:rsidR="00D6628E">
        <w:t xml:space="preserve">. </w:t>
      </w:r>
      <w:r w:rsidR="00D6628E">
        <w:lastRenderedPageBreak/>
        <w:t>The authors of this r</w:t>
      </w:r>
      <w:r w:rsidR="000D0D41">
        <w:t>eport discuss</w:t>
      </w:r>
      <w:r w:rsidR="00D6628E">
        <w:t xml:space="preserve"> the use of quantitative dye tracing and hydrograph analyses to monitor stormwater runoff and </w:t>
      </w:r>
      <w:r w:rsidR="000D0D41">
        <w:t xml:space="preserve">resulting </w:t>
      </w:r>
      <w:r w:rsidR="00D6628E">
        <w:t>groundwater flow from runoff from a highway system.</w:t>
      </w:r>
    </w:p>
    <w:p w14:paraId="369D41A9" w14:textId="7E9877B7" w:rsidR="003718B6" w:rsidRDefault="00F23DB4" w:rsidP="00346564">
      <w:pPr>
        <w:pStyle w:val="LFTBody"/>
        <w:numPr>
          <w:ilvl w:val="0"/>
          <w:numId w:val="21"/>
        </w:numPr>
      </w:pPr>
      <w:hyperlink r:id="rId73" w:history="1">
        <w:r w:rsidR="003718B6" w:rsidRPr="003718B6">
          <w:rPr>
            <w:rStyle w:val="Hyperlink"/>
            <w:b/>
          </w:rPr>
          <w:t>Evaluating the Effectiveness of Regulatory Stormwater Monitoring Protocols on Groundwater Quality in Urbanized Karst Regions</w:t>
        </w:r>
      </w:hyperlink>
      <w:r w:rsidR="003718B6">
        <w:t xml:space="preserve"> (</w:t>
      </w:r>
      <w:r w:rsidR="003718B6" w:rsidRPr="00346564">
        <w:t>Nedvidek, 2014</w:t>
      </w:r>
      <w:r w:rsidR="003718B6" w:rsidRPr="00F47691">
        <w:t>).</w:t>
      </w:r>
      <w:r w:rsidR="00430C49">
        <w:t xml:space="preserve"> This report looks </w:t>
      </w:r>
      <w:r w:rsidR="00E33C7B">
        <w:t>at</w:t>
      </w:r>
      <w:r w:rsidR="00430C49">
        <w:t xml:space="preserve"> monitoring techniques and frequencies. It also discusses how to make these monitoring programs cost effective</w:t>
      </w:r>
      <w:r w:rsidR="00E33C7B">
        <w:t>,</w:t>
      </w:r>
      <w:r w:rsidR="00430C49">
        <w:t xml:space="preserve"> while still providing a sufficient amount of information.</w:t>
      </w:r>
    </w:p>
    <w:p w14:paraId="69EB12E5" w14:textId="77777777" w:rsidR="001F046A" w:rsidRPr="00A35A67" w:rsidRDefault="00C66CED" w:rsidP="00C66CED">
      <w:pPr>
        <w:pStyle w:val="LFTHeading3"/>
        <w:rPr>
          <w:highlight w:val="yellow"/>
        </w:rPr>
      </w:pPr>
      <w:r>
        <w:t xml:space="preserve">2.6.6 </w:t>
      </w:r>
      <w:bookmarkStart w:id="18" w:name="Karst_remediation"/>
      <w:r w:rsidR="001F046A" w:rsidRPr="00D91C6D">
        <w:t>How to Remediate After a Sinkhole Appears</w:t>
      </w:r>
      <w:bookmarkEnd w:id="18"/>
    </w:p>
    <w:p w14:paraId="7A40BF84" w14:textId="09309D80" w:rsidR="001F046A" w:rsidRPr="000902BF" w:rsidRDefault="001F046A" w:rsidP="00C66CED">
      <w:pPr>
        <w:pStyle w:val="LFTBody"/>
      </w:pPr>
      <w:r w:rsidRPr="000902BF">
        <w:t>There are several approaches to sinkhole remediation if such an approach is desirable. Sinkhole sealing involves investigation, stabilization, filling</w:t>
      </w:r>
      <w:r w:rsidR="00045D1E">
        <w:t>,</w:t>
      </w:r>
      <w:r w:rsidRPr="000902BF">
        <w:t xml:space="preserve"> and final grading. In the investigation phase, the areal extent and depth of the sinkhole(s) should be determined. The investigation may consist of excavation to bedrock, soil borings, and/or geophysical studies. Sealing small-sized sinkholes is normally achieved by digging out the sinkhole to bedrock, plugging the hole with concrete, installing several impermeable soil layers interspersed with plastic or geotextile, and crowning with an impermeable layer and topsoil. For moderate sinkholes, an engineered subsurface structure is usually required.</w:t>
      </w:r>
    </w:p>
    <w:p w14:paraId="2100337A" w14:textId="77777777" w:rsidR="001F046A" w:rsidRDefault="001F046A" w:rsidP="00C66CED">
      <w:pPr>
        <w:pStyle w:val="LFTBody"/>
      </w:pPr>
      <w:r w:rsidRPr="000902BF">
        <w:t>It is often not feasible to seal large sinkholes so other remediation options must be pursued. These could include construction of a low-head berm around the sinkhole, clean-out of the sinkhole to make sure all potentially contaminating materials are removed, landscaping and conversion of land use in the sinkhole to open space or recreation, provided it can be done in a manner that provides adequate safety. In any of these cases, pre-treatment of any stormwater entering the sinkhole is imperative. Final grading of sinkholes in open space settings should include the placement of low permeability topsoil or clay and a vegetative cover, with a positive grade maintained away from the sinkhole location to avoid ponding or infiltration, if feasible.</w:t>
      </w:r>
    </w:p>
    <w:p w14:paraId="06D2C240" w14:textId="5E72B7C3" w:rsidR="006F1277" w:rsidRDefault="006F1277" w:rsidP="006F1277">
      <w:pPr>
        <w:pStyle w:val="LFTBody"/>
      </w:pPr>
      <w:r>
        <w:t>Additional information on sinkhole remediation can be found at:</w:t>
      </w:r>
    </w:p>
    <w:p w14:paraId="5C978C19" w14:textId="2EA50913" w:rsidR="006F1277" w:rsidRPr="00F47691" w:rsidRDefault="00F23DB4" w:rsidP="00896BC5">
      <w:pPr>
        <w:pStyle w:val="LFTBullet1"/>
      </w:pPr>
      <w:hyperlink r:id="rId74" w:history="1">
        <w:r w:rsidR="006F1277" w:rsidRPr="00F47691">
          <w:rPr>
            <w:rStyle w:val="Hyperlink"/>
            <w:b/>
          </w:rPr>
          <w:t>Problems Associated with the Use of Compaction Grout for Sinkhole Remediation in West-Central Florida</w:t>
        </w:r>
      </w:hyperlink>
      <w:r w:rsidR="006F1277" w:rsidRPr="00F47691">
        <w:t xml:space="preserve"> (</w:t>
      </w:r>
      <w:r w:rsidR="006F1277" w:rsidRPr="00346564">
        <w:t>Zisman, 2013</w:t>
      </w:r>
      <w:r w:rsidR="006F1277" w:rsidRPr="00F47691">
        <w:t>). This paper presents information regarding the improper applicat</w:t>
      </w:r>
      <w:r w:rsidR="00497ACB" w:rsidRPr="00F47691">
        <w:t>ion of compaction grouting in s</w:t>
      </w:r>
      <w:r w:rsidR="00C57786" w:rsidRPr="00F47691">
        <w:t>inkholes.</w:t>
      </w:r>
    </w:p>
    <w:p w14:paraId="169068E7" w14:textId="2350A647" w:rsidR="006F1277" w:rsidRPr="00F47691" w:rsidRDefault="00F23DB4" w:rsidP="00896BC5">
      <w:pPr>
        <w:pStyle w:val="LFTBullet1"/>
      </w:pPr>
      <w:hyperlink r:id="rId75" w:history="1">
        <w:r w:rsidR="006F1277" w:rsidRPr="00F47691">
          <w:rPr>
            <w:rStyle w:val="Hyperlink"/>
            <w:b/>
          </w:rPr>
          <w:t>The Characterization and Remediation of Sinkholes</w:t>
        </w:r>
      </w:hyperlink>
      <w:r w:rsidR="009C01A5" w:rsidRPr="00F47691">
        <w:t xml:space="preserve"> (</w:t>
      </w:r>
      <w:r w:rsidR="009C01A5" w:rsidRPr="00346564">
        <w:t>Denton, N.D. – Power</w:t>
      </w:r>
      <w:r w:rsidR="00C57786" w:rsidRPr="00346564">
        <w:t>P</w:t>
      </w:r>
      <w:r w:rsidR="006F1277" w:rsidRPr="00346564">
        <w:t>oint Presentation</w:t>
      </w:r>
      <w:r w:rsidR="006F1277" w:rsidRPr="00F47691">
        <w:t>).</w:t>
      </w:r>
      <w:r w:rsidR="00C57786" w:rsidRPr="00F47691">
        <w:t xml:space="preserve"> The PowerPoint presentation presents an overview of karst geology and some common remediation techniques. </w:t>
      </w:r>
    </w:p>
    <w:p w14:paraId="1E500245" w14:textId="6110CE95" w:rsidR="00F259F9" w:rsidRPr="00F47691" w:rsidRDefault="00F259F9" w:rsidP="00896BC5">
      <w:pPr>
        <w:pStyle w:val="LFTBullet1"/>
      </w:pPr>
      <w:r w:rsidRPr="00F47691">
        <w:t>Development Mechanism and Remediation of Multiple Spontaneous Sinkholes: A Case Study (</w:t>
      </w:r>
      <w:r w:rsidRPr="00346564">
        <w:t>Jammal et al., 2010</w:t>
      </w:r>
      <w:r w:rsidRPr="00F47691">
        <w:t>). This journal article provides information on how to remediate when multiple sinkholes are present.</w:t>
      </w:r>
    </w:p>
    <w:p w14:paraId="732460B6" w14:textId="22BFD11E" w:rsidR="00F259F9" w:rsidRDefault="00F23DB4" w:rsidP="00896BC5">
      <w:pPr>
        <w:pStyle w:val="LFTBullet1"/>
      </w:pPr>
      <w:hyperlink r:id="rId76" w:history="1">
        <w:r w:rsidR="009C01A5" w:rsidRPr="00F47691">
          <w:rPr>
            <w:rStyle w:val="Hyperlink"/>
            <w:b/>
          </w:rPr>
          <w:t>Sinkholes and Seepage: Embankment Repair at Hat Creek 1</w:t>
        </w:r>
      </w:hyperlink>
      <w:r w:rsidR="009C01A5" w:rsidRPr="00F47691">
        <w:t xml:space="preserve"> (</w:t>
      </w:r>
      <w:r w:rsidR="009C01A5" w:rsidRPr="00346564">
        <w:t>Bowers et al., 2013</w:t>
      </w:r>
      <w:r w:rsidR="009C01A5" w:rsidRPr="00F47691">
        <w:t>)</w:t>
      </w:r>
      <w:r w:rsidR="00F259F9" w:rsidRPr="00F47691">
        <w:t>. This</w:t>
      </w:r>
      <w:r w:rsidR="00F259F9">
        <w:t xml:space="preserve"> article discusses </w:t>
      </w:r>
      <w:r w:rsidR="00416307">
        <w:t>geotechnical investigation and engineering solution regarding a sinkhole that was discovered near a Pacific Gas and Electric Company hydroelectric project.</w:t>
      </w:r>
    </w:p>
    <w:p w14:paraId="1EA16457" w14:textId="6A2BB3FC" w:rsidR="00191312" w:rsidRDefault="00F23DB4" w:rsidP="00896BC5">
      <w:pPr>
        <w:pStyle w:val="LFTBullet1"/>
      </w:pPr>
      <w:hyperlink r:id="rId77" w:history="1">
        <w:r w:rsidR="00F259F9" w:rsidRPr="00F259F9">
          <w:rPr>
            <w:rStyle w:val="Hyperlink"/>
            <w:b/>
          </w:rPr>
          <w:t xml:space="preserve">Tennessee Permanent Stormwater Management and Design Guidance Manual – Appendix B </w:t>
        </w:r>
        <w:r w:rsidR="00F259F9" w:rsidRPr="00F259F9">
          <w:rPr>
            <w:rStyle w:val="Hyperlink"/>
          </w:rPr>
          <w:t>(2014)</w:t>
        </w:r>
      </w:hyperlink>
      <w:r w:rsidR="00F259F9">
        <w:t xml:space="preserve">. </w:t>
      </w:r>
      <w:r w:rsidR="00D02CE9">
        <w:t>This section of Appendix B provides a brief overview of sinkhole notification, investigation, stabilization, and final grading.</w:t>
      </w:r>
    </w:p>
    <w:p w14:paraId="704912B8" w14:textId="77777777" w:rsidR="00F259F9" w:rsidRPr="002D216D" w:rsidRDefault="00F259F9" w:rsidP="00C66CED">
      <w:pPr>
        <w:pStyle w:val="LFTBody"/>
      </w:pPr>
    </w:p>
    <w:p w14:paraId="1FC38100" w14:textId="77777777" w:rsidR="001F046A" w:rsidRPr="001F046A" w:rsidRDefault="001F046A" w:rsidP="006F4324">
      <w:pPr>
        <w:pStyle w:val="LFTHeading2"/>
        <w:numPr>
          <w:ilvl w:val="1"/>
          <w:numId w:val="8"/>
        </w:numPr>
      </w:pPr>
      <w:bookmarkStart w:id="19" w:name="_Toc395180908"/>
      <w:bookmarkStart w:id="20" w:name="Brownfield"/>
      <w:bookmarkStart w:id="21" w:name="Contaminated"/>
      <w:r w:rsidRPr="001F046A">
        <w:lastRenderedPageBreak/>
        <w:t>Contaminated Soils and Groundwater</w:t>
      </w:r>
      <w:bookmarkEnd w:id="19"/>
    </w:p>
    <w:bookmarkEnd w:id="20"/>
    <w:bookmarkEnd w:id="21"/>
    <w:p w14:paraId="2A38A0E3" w14:textId="77777777" w:rsidR="001F046A" w:rsidRPr="00D91C6D" w:rsidRDefault="00C66CED" w:rsidP="00C66CED">
      <w:pPr>
        <w:pStyle w:val="LFTHeading3"/>
      </w:pPr>
      <w:r>
        <w:t xml:space="preserve">2.7.1 </w:t>
      </w:r>
      <w:r w:rsidR="001F046A" w:rsidRPr="00D91C6D">
        <w:t>What are Contaminated Sites?</w:t>
      </w:r>
    </w:p>
    <w:p w14:paraId="5980EDAB" w14:textId="37FD4A5B" w:rsidR="00864755" w:rsidRDefault="0049029E" w:rsidP="00C66CED">
      <w:pPr>
        <w:pStyle w:val="LFTBody"/>
      </w:pPr>
      <w:r>
        <w:t xml:space="preserve"> </w:t>
      </w:r>
      <w:r w:rsidR="001339F5">
        <w:t xml:space="preserve">The </w:t>
      </w:r>
      <w:r w:rsidR="00B11EFB">
        <w:t xml:space="preserve">CGP </w:t>
      </w:r>
      <w:r w:rsidR="005F4FFE">
        <w:t>PROHIBITS</w:t>
      </w:r>
      <w:r w:rsidR="00B11EFB">
        <w:t xml:space="preserve"> the use of infiltration BMPs in areas where the infiltrating stormwater will mobilize the contaminants.</w:t>
      </w:r>
      <w:r w:rsidR="00C55F6C">
        <w:t xml:space="preserve"> </w:t>
      </w:r>
      <w:r>
        <w:t>However, stormwater infiltration BMPs may be feasible at sites with known contaminated soils or groundwater under certain conditions.</w:t>
      </w:r>
      <w:r w:rsidRPr="002D216D">
        <w:t xml:space="preserve"> </w:t>
      </w:r>
      <w:r w:rsidR="00C55F6C">
        <w:t>Contaminated sites include, but are not limited to, the following:</w:t>
      </w:r>
    </w:p>
    <w:p w14:paraId="7D92F273" w14:textId="112D0DF9" w:rsidR="00C55F6C" w:rsidRDefault="00C55F6C" w:rsidP="00896BC5">
      <w:pPr>
        <w:pStyle w:val="LFTBullet1"/>
      </w:pPr>
      <w:r w:rsidRPr="009E340F">
        <w:rPr>
          <w:b/>
        </w:rPr>
        <w:t>Brownfields</w:t>
      </w:r>
      <w:r w:rsidR="009E340F" w:rsidRPr="009E340F">
        <w:rPr>
          <w:b/>
        </w:rPr>
        <w:t>.</w:t>
      </w:r>
      <w:r w:rsidR="00280C5F">
        <w:t xml:space="preserve"> A brownfield is a property where redevelopment or reuse may be </w:t>
      </w:r>
      <w:r w:rsidR="00355CAE">
        <w:t>complicated by the presence (or likely presence) of contamination. Brownfields may include vacant parcels</w:t>
      </w:r>
      <w:r w:rsidR="005F4FFE">
        <w:t>,</w:t>
      </w:r>
      <w:r w:rsidR="00355CAE">
        <w:t xml:space="preserve"> depending on their prior use. A wide variety of contaminants may be found at a Brownfield site depending on the previous use.</w:t>
      </w:r>
      <w:r w:rsidR="000A1D49">
        <w:t xml:space="preserve"> Common types of brownfields, along with typical contaminants, are as follows (</w:t>
      </w:r>
      <w:hyperlink r:id="rId78" w:history="1">
        <w:r w:rsidR="00347C24" w:rsidRPr="00347C24">
          <w:rPr>
            <w:rStyle w:val="Hyperlink"/>
          </w:rPr>
          <w:t>U.S.</w:t>
        </w:r>
        <w:r w:rsidR="000A1D49" w:rsidRPr="00347C24">
          <w:rPr>
            <w:rStyle w:val="Hyperlink"/>
          </w:rPr>
          <w:t>EPA</w:t>
        </w:r>
      </w:hyperlink>
      <w:r w:rsidR="00347C24">
        <w:t>, 2010</w:t>
      </w:r>
      <w:r w:rsidR="000A1D49">
        <w:t>):</w:t>
      </w:r>
    </w:p>
    <w:p w14:paraId="6A257A60" w14:textId="1F4F272E" w:rsidR="000A1D49" w:rsidRDefault="000A1D49" w:rsidP="00896BC5">
      <w:pPr>
        <w:pStyle w:val="LFTBullet2"/>
      </w:pPr>
      <w:r w:rsidRPr="005F4FFE">
        <w:rPr>
          <w:b/>
        </w:rPr>
        <w:t>Gasoline service stations and auto body repair shops:</w:t>
      </w:r>
      <w:r>
        <w:t xml:space="preserve"> </w:t>
      </w:r>
      <w:r w:rsidR="008C1C93">
        <w:t>Typically c</w:t>
      </w:r>
      <w:r>
        <w:t>ontaminated with petroleum hydrocarbons found in u</w:t>
      </w:r>
      <w:r w:rsidR="008C1C93">
        <w:t>nderground storage tanks (USTs), metals associated with motor and hydraulic oils, and cleaning solvents.</w:t>
      </w:r>
    </w:p>
    <w:p w14:paraId="47E4D452" w14:textId="2D6A8232" w:rsidR="008C1C93" w:rsidRDefault="008C1C93" w:rsidP="00896BC5">
      <w:pPr>
        <w:pStyle w:val="LFTBullet2"/>
      </w:pPr>
      <w:r w:rsidRPr="005F4FFE">
        <w:rPr>
          <w:b/>
        </w:rPr>
        <w:t>Industrial properties:</w:t>
      </w:r>
      <w:r>
        <w:t xml:space="preserve"> Typically contaminated with asbestos, heavy metals, volatile organic compounds (VOCs), semi-volatile organic compounds (SVOCs), and polychlorinated biphenyls (PCBs).</w:t>
      </w:r>
    </w:p>
    <w:p w14:paraId="12E31A09" w14:textId="5D8B549B" w:rsidR="008C1C93" w:rsidRDefault="008C1C93" w:rsidP="00896BC5">
      <w:pPr>
        <w:pStyle w:val="LFTBullet2"/>
      </w:pPr>
      <w:r w:rsidRPr="005F4FFE">
        <w:rPr>
          <w:b/>
        </w:rPr>
        <w:t>Commercial properties (e.g., dry cleaning operations):</w:t>
      </w:r>
      <w:r>
        <w:t xml:space="preserve"> Typically contaminated with asbestos, VOCs, polycyclic aromatic hydrocarbons (PAHs), and PCBs.</w:t>
      </w:r>
    </w:p>
    <w:p w14:paraId="4539959A" w14:textId="5261006D" w:rsidR="008C1C93" w:rsidRDefault="008C1C93" w:rsidP="00896BC5">
      <w:pPr>
        <w:pStyle w:val="LFTBullet2"/>
      </w:pPr>
      <w:r w:rsidRPr="005F4FFE">
        <w:rPr>
          <w:b/>
        </w:rPr>
        <w:t xml:space="preserve">Landfills and dumps: </w:t>
      </w:r>
      <w:r>
        <w:t>Typically contaminated with oils, paints, solvents, corrosive cleaners, batteries, VOCs, PAHs, and PCBs.</w:t>
      </w:r>
    </w:p>
    <w:p w14:paraId="598288E8" w14:textId="254EB2AD" w:rsidR="00355CAE" w:rsidRDefault="00355CAE" w:rsidP="00896BC5">
      <w:pPr>
        <w:pStyle w:val="LFTBullet1"/>
      </w:pPr>
      <w:r w:rsidRPr="009E340F">
        <w:rPr>
          <w:b/>
        </w:rPr>
        <w:t>Superfund Sites</w:t>
      </w:r>
      <w:r w:rsidR="009E340F" w:rsidRPr="009E340F">
        <w:rPr>
          <w:b/>
        </w:rPr>
        <w:t>.</w:t>
      </w:r>
      <w:r w:rsidR="008C1C93">
        <w:t xml:space="preserve"> A Superfund site is a site that is regulated under the Superfund program, </w:t>
      </w:r>
      <w:r w:rsidR="00C36862">
        <w:t xml:space="preserve">established under the Comprehensive Environmental Response, Compensation and Liability Act of 1980 (CERCLA) and </w:t>
      </w:r>
      <w:r w:rsidR="008C1C93">
        <w:t xml:space="preserve">implemented by the </w:t>
      </w:r>
      <w:r w:rsidR="005F4FFE">
        <w:t xml:space="preserve">U.S. </w:t>
      </w:r>
      <w:r w:rsidR="008C1C93">
        <w:t xml:space="preserve">EPA. </w:t>
      </w:r>
      <w:r w:rsidR="003346DF">
        <w:t>These sites are abandoned, uncontrolled hazardous waste sites (</w:t>
      </w:r>
      <w:hyperlink r:id="rId79" w:history="1">
        <w:r w:rsidR="00C36862" w:rsidRPr="00C36862">
          <w:rPr>
            <w:rStyle w:val="Hyperlink"/>
          </w:rPr>
          <w:t xml:space="preserve">U.S. </w:t>
        </w:r>
        <w:r w:rsidR="00C36862" w:rsidRPr="00217E18">
          <w:rPr>
            <w:rStyle w:val="Hyperlink"/>
          </w:rPr>
          <w:t>EPA, 2011</w:t>
        </w:r>
      </w:hyperlink>
      <w:r w:rsidR="003346DF">
        <w:t xml:space="preserve">). </w:t>
      </w:r>
      <w:r w:rsidR="008C1C93">
        <w:t xml:space="preserve">A list of sites can be found on the </w:t>
      </w:r>
      <w:hyperlink r:id="rId80" w:history="1">
        <w:r w:rsidR="008C1C93" w:rsidRPr="008C1C93">
          <w:rPr>
            <w:rStyle w:val="Hyperlink"/>
          </w:rPr>
          <w:t>National Priorities List</w:t>
        </w:r>
      </w:hyperlink>
      <w:r w:rsidR="008C1C93">
        <w:t>.</w:t>
      </w:r>
      <w:r w:rsidR="00F043CC">
        <w:t xml:space="preserve"> </w:t>
      </w:r>
      <w:r w:rsidR="009F692D">
        <w:t xml:space="preserve">Information can also be found on the MPCA’s webpage under the </w:t>
      </w:r>
      <w:hyperlink r:id="rId81" w:history="1">
        <w:r w:rsidR="009F692D" w:rsidRPr="009F692D">
          <w:rPr>
            <w:rStyle w:val="Hyperlink"/>
          </w:rPr>
          <w:t>Superfund Program Site Search</w:t>
        </w:r>
      </w:hyperlink>
      <w:r w:rsidR="009F692D">
        <w:t xml:space="preserve">. </w:t>
      </w:r>
      <w:r w:rsidR="00F043CC">
        <w:t xml:space="preserve">As with Brownfields, a wide </w:t>
      </w:r>
      <w:r w:rsidR="00FB57A7">
        <w:t>variety of pollutants can be present.</w:t>
      </w:r>
      <w:r w:rsidR="00C711D6">
        <w:t xml:space="preserve"> Some of the common pollutants found at Superfund sites include, but are not limited to, organics (e.g. creosote and phenols), industrial solvents (e.g. trichloroethylene [TCE], tetrachloroethene [PCE], and trichloroethane), waste inks, caustics and acids, paints and paint thinners, VOCs, and asbestos.</w:t>
      </w:r>
    </w:p>
    <w:p w14:paraId="2BE7573A" w14:textId="6208B2DA" w:rsidR="00355CAE" w:rsidRDefault="00355CAE" w:rsidP="00896BC5">
      <w:pPr>
        <w:pStyle w:val="LFTBullet1"/>
      </w:pPr>
      <w:r w:rsidRPr="009E340F">
        <w:rPr>
          <w:b/>
        </w:rPr>
        <w:t>RCRA sites</w:t>
      </w:r>
      <w:r w:rsidR="009E340F" w:rsidRPr="009E340F">
        <w:rPr>
          <w:b/>
        </w:rPr>
        <w:t>.</w:t>
      </w:r>
      <w:r w:rsidR="003346DF">
        <w:t xml:space="preserve"> RCRA, or Resource Conservation and Recovery Act, sites are hazardous wastes sites but, unlike Superfund sites, are currently in use</w:t>
      </w:r>
      <w:r w:rsidR="00EA3E26">
        <w:t xml:space="preserve"> </w:t>
      </w:r>
      <w:r w:rsidR="00C36862">
        <w:t>(U.S. EPA, 2011)</w:t>
      </w:r>
      <w:r w:rsidR="003346DF">
        <w:t xml:space="preserve">. Many of the pollutants found at Superfund sites will also be found in RCRA sites. </w:t>
      </w:r>
      <w:r w:rsidR="00137418">
        <w:t xml:space="preserve">A list of RCRA sites can be found on the MPCA’s webpage under </w:t>
      </w:r>
      <w:hyperlink r:id="rId82" w:history="1">
        <w:r w:rsidR="00137418" w:rsidRPr="00137418">
          <w:rPr>
            <w:rStyle w:val="Hyperlink"/>
          </w:rPr>
          <w:t>RCRA Cleanup Site Search</w:t>
        </w:r>
      </w:hyperlink>
      <w:r w:rsidR="00137418">
        <w:t>.</w:t>
      </w:r>
    </w:p>
    <w:p w14:paraId="4F12C7B3" w14:textId="39E9FC3E" w:rsidR="00355CAE" w:rsidRDefault="00137418" w:rsidP="00896BC5">
      <w:pPr>
        <w:pStyle w:val="LFTBullet1"/>
      </w:pPr>
      <w:r w:rsidRPr="009E340F">
        <w:rPr>
          <w:b/>
        </w:rPr>
        <w:t>Underground or Aboveground Storage Tank Sites</w:t>
      </w:r>
      <w:r w:rsidR="009E340F" w:rsidRPr="009E340F">
        <w:rPr>
          <w:b/>
        </w:rPr>
        <w:t>.</w:t>
      </w:r>
      <w:r>
        <w:t xml:space="preserve"> </w:t>
      </w:r>
      <w:r w:rsidR="00DE1FD8">
        <w:t>Storage tank sites that are of concern are those sites which store petroleum or hazardous substances. Common pollutants stored in tanks are petroleum product</w:t>
      </w:r>
      <w:r w:rsidR="005F4FFE">
        <w:t>s</w:t>
      </w:r>
      <w:r w:rsidR="00DE1FD8">
        <w:t xml:space="preserve"> (e.g., gasoline and diesel), fuel oil, and other liquid hazardous chemicals</w:t>
      </w:r>
      <w:r w:rsidR="00217E18">
        <w:t xml:space="preserve">. </w:t>
      </w:r>
      <w:r w:rsidR="00DE1FD8">
        <w:t xml:space="preserve">A list of leaks/tank sites can be found on the MPCA’s webpage under </w:t>
      </w:r>
      <w:hyperlink r:id="rId83" w:history="1">
        <w:r w:rsidR="00DE1FD8" w:rsidRPr="00DE1FD8">
          <w:rPr>
            <w:rStyle w:val="Hyperlink"/>
          </w:rPr>
          <w:t>Leaks/Tanks Search</w:t>
        </w:r>
      </w:hyperlink>
      <w:r w:rsidR="00DE1FD8">
        <w:t>.</w:t>
      </w:r>
    </w:p>
    <w:p w14:paraId="0C8E21B8" w14:textId="6F0CC014" w:rsidR="009F692D" w:rsidRDefault="009F692D" w:rsidP="00C66CED">
      <w:pPr>
        <w:pStyle w:val="LFTBody"/>
      </w:pPr>
      <w:r>
        <w:lastRenderedPageBreak/>
        <w:t xml:space="preserve">The MPCA provides a search engine called </w:t>
      </w:r>
      <w:hyperlink r:id="rId84" w:history="1">
        <w:r w:rsidRPr="009F692D">
          <w:rPr>
            <w:rStyle w:val="Hyperlink"/>
          </w:rPr>
          <w:t>What’s in My Neighborhood</w:t>
        </w:r>
      </w:hyperlink>
      <w:r>
        <w:t>?</w:t>
      </w:r>
      <w:r w:rsidR="00137418">
        <w:t xml:space="preserve"> This online application allows a user to search for known contaminated sites in area</w:t>
      </w:r>
      <w:r w:rsidR="0049029E">
        <w:t>s near or on a site proposed for a stormwater BMP</w:t>
      </w:r>
      <w:r w:rsidR="00137418">
        <w:t>.</w:t>
      </w:r>
    </w:p>
    <w:p w14:paraId="3BE1F3C6" w14:textId="3A1FA32D" w:rsidR="00043BAC" w:rsidRPr="005610ED" w:rsidRDefault="005610ED" w:rsidP="00C66CED">
      <w:pPr>
        <w:pStyle w:val="LFTBody"/>
        <w:rPr>
          <w:rFonts w:asciiTheme="majorHAnsi" w:eastAsiaTheme="majorEastAsia" w:hAnsiTheme="majorHAnsi" w:cstheme="majorBidi"/>
          <w:b/>
          <w:bCs/>
          <w:color w:val="0081C6" w:themeColor="background2"/>
          <w:sz w:val="28"/>
          <w:szCs w:val="28"/>
        </w:rPr>
      </w:pPr>
      <w:r>
        <w:rPr>
          <w:rFonts w:asciiTheme="majorHAnsi" w:eastAsiaTheme="majorEastAsia" w:hAnsiTheme="majorHAnsi" w:cstheme="majorBidi"/>
          <w:b/>
          <w:bCs/>
          <w:color w:val="0081C6" w:themeColor="background2"/>
          <w:sz w:val="28"/>
          <w:szCs w:val="28"/>
        </w:rPr>
        <w:t xml:space="preserve">2.7.2 What Rules Regulate Stormwater Management at a Contaminated Site? </w:t>
      </w:r>
    </w:p>
    <w:p w14:paraId="6651D41C" w14:textId="1C615609" w:rsidR="001F046A" w:rsidRPr="00C66CED" w:rsidRDefault="001F046A" w:rsidP="00C66CED">
      <w:pPr>
        <w:pStyle w:val="LFTBody"/>
        <w:rPr>
          <w:szCs w:val="21"/>
        </w:rPr>
      </w:pPr>
      <w:r w:rsidRPr="00C66CED">
        <w:rPr>
          <w:szCs w:val="21"/>
        </w:rPr>
        <w:t xml:space="preserve">Groundwater rules are contained in </w:t>
      </w:r>
      <w:hyperlink r:id="rId85" w:history="1">
        <w:r w:rsidRPr="00C66CED">
          <w:rPr>
            <w:rStyle w:val="Hyperlink"/>
          </w:rPr>
          <w:t>Minnesota Rule 7060</w:t>
        </w:r>
      </w:hyperlink>
      <w:r w:rsidRPr="00C66CED">
        <w:rPr>
          <w:szCs w:val="21"/>
        </w:rPr>
        <w:t xml:space="preserve">. These </w:t>
      </w:r>
      <w:hyperlink r:id="rId86" w:history="1">
        <w:r w:rsidRPr="00C66CED">
          <w:rPr>
            <w:rStyle w:val="Hyperlink"/>
          </w:rPr>
          <w:t>rules</w:t>
        </w:r>
      </w:hyperlink>
      <w:r w:rsidRPr="00C66CED">
        <w:rPr>
          <w:rStyle w:val="Hyperlink"/>
        </w:rPr>
        <w:t xml:space="preserve"> </w:t>
      </w:r>
      <w:r w:rsidRPr="00C66CED">
        <w:rPr>
          <w:szCs w:val="21"/>
        </w:rPr>
        <w:t>were adopted to preserve and protect the underground waters of the state by preventing any new, and abating existing, underground water pollution. These rules form the basis for groundwater protection efforts in several MPCA programs, and include: a) defined uses of underground waters; b) a non</w:t>
      </w:r>
      <w:r w:rsidR="00217E18">
        <w:rPr>
          <w:szCs w:val="21"/>
        </w:rPr>
        <w:t>-</w:t>
      </w:r>
      <w:r w:rsidRPr="00C66CED">
        <w:rPr>
          <w:szCs w:val="21"/>
        </w:rPr>
        <w:t xml:space="preserve">degradation policy for the MPCA to follow to ensure underground waters of the state are maintained at their natural quality; and c) standards (e.g., prohibitions) to protect the underground waters of the state. </w:t>
      </w:r>
    </w:p>
    <w:p w14:paraId="1241B893" w14:textId="206F74CC" w:rsidR="00171FFA" w:rsidRPr="005F4FFE" w:rsidRDefault="006A0647" w:rsidP="00171FFA">
      <w:pPr>
        <w:pStyle w:val="LFTBody"/>
        <w:rPr>
          <w:rFonts w:asciiTheme="majorHAnsi" w:hAnsiTheme="majorHAnsi"/>
        </w:rPr>
      </w:pPr>
      <w:r>
        <w:t xml:space="preserve">Sensitive areas are of particular concern for contaminated sites. </w:t>
      </w:r>
      <w:r w:rsidR="001F046A" w:rsidRPr="002D216D">
        <w:t xml:space="preserve">“Sensitive Areas” are defined in </w:t>
      </w:r>
      <w:hyperlink r:id="rId87" w:history="1">
        <w:r w:rsidR="001F046A" w:rsidRPr="00EA3E26">
          <w:rPr>
            <w:rStyle w:val="Hyperlink"/>
          </w:rPr>
          <w:t>Minnesota Statues 103H.005</w:t>
        </w:r>
      </w:hyperlink>
      <w:r w:rsidR="001F046A" w:rsidRPr="002D216D">
        <w:t xml:space="preserve"> Subd. 13 as geographic areas defined by </w:t>
      </w:r>
      <w:r w:rsidR="00C36862">
        <w:t>“</w:t>
      </w:r>
      <w:r w:rsidR="001F046A" w:rsidRPr="002D216D">
        <w:t>natural features where there is a significant risk of groundwater degradation from activities conducted at or near the land surface.</w:t>
      </w:r>
      <w:r w:rsidR="00C36862">
        <w:t>”</w:t>
      </w:r>
      <w:r w:rsidR="001F046A" w:rsidRPr="002D216D">
        <w:t xml:space="preserve"> </w:t>
      </w:r>
      <w:r w:rsidR="001F046A" w:rsidRPr="002D216D">
        <w:rPr>
          <w:b/>
        </w:rPr>
        <w:t xml:space="preserve">Figure </w:t>
      </w:r>
      <w:r w:rsidR="00C66CED">
        <w:rPr>
          <w:b/>
        </w:rPr>
        <w:t>2.</w:t>
      </w:r>
      <w:r w:rsidR="005F4FFE">
        <w:rPr>
          <w:b/>
        </w:rPr>
        <w:t>8</w:t>
      </w:r>
      <w:r w:rsidR="00766A74">
        <w:rPr>
          <w:b/>
        </w:rPr>
        <w:t xml:space="preserve"> </w:t>
      </w:r>
      <w:r w:rsidR="001F046A" w:rsidRPr="002D216D">
        <w:t xml:space="preserve">shows the relative susceptibility of areas in MN as delineated by the MPCA. Additional information about groundwater pollution sensitivity, including definitions of the five relative classes of geologic sensitivity (based on time of travel) provided by the MN DNR is available </w:t>
      </w:r>
      <w:hyperlink r:id="rId88" w:history="1">
        <w:r w:rsidR="001F046A" w:rsidRPr="00C66CED">
          <w:rPr>
            <w:rStyle w:val="Hyperlink"/>
          </w:rPr>
          <w:t>here</w:t>
        </w:r>
      </w:hyperlink>
      <w:r w:rsidR="001F046A" w:rsidRPr="002D216D">
        <w:t xml:space="preserve">. </w:t>
      </w:r>
      <w:r w:rsidR="00171FFA" w:rsidRPr="005F4FFE">
        <w:rPr>
          <w:rFonts w:asciiTheme="majorHAnsi" w:hAnsiTheme="majorHAnsi"/>
        </w:rPr>
        <w:t>The index is based on the Groundwater Contamination Susceptibility model by the Minnesota Pollution Control Agency (Porcher, 1989).</w:t>
      </w:r>
    </w:p>
    <w:p w14:paraId="6C432690" w14:textId="64E1A502" w:rsidR="001F046A" w:rsidRDefault="001F046A" w:rsidP="00C66CED">
      <w:pPr>
        <w:pStyle w:val="LFTBody"/>
      </w:pPr>
    </w:p>
    <w:p w14:paraId="32F37E9B" w14:textId="6343533F" w:rsidR="005610ED" w:rsidRDefault="005610ED" w:rsidP="00C66CED">
      <w:pPr>
        <w:pStyle w:val="LFTBody"/>
      </w:pPr>
      <w:r>
        <w:rPr>
          <w:noProof/>
          <w:lang w:bidi="ar-SA"/>
        </w:rPr>
        <w:drawing>
          <wp:inline distT="0" distB="0" distL="0" distR="0" wp14:anchorId="17536DC3" wp14:editId="3F51DEB5">
            <wp:extent cx="2124075" cy="2657025"/>
            <wp:effectExtent l="0" t="0" r="0" b="0"/>
            <wp:docPr id="14" name="Picture 14" descr="http://files.dnr.state.mn.us/natural_resources/water/watersheds/tool/index_slides/g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dnr.state.mn.us/natural_resources/water/watersheds/tool/index_slides/gw1.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25538" cy="2658855"/>
                    </a:xfrm>
                    <a:prstGeom prst="rect">
                      <a:avLst/>
                    </a:prstGeom>
                    <a:noFill/>
                    <a:ln>
                      <a:noFill/>
                    </a:ln>
                  </pic:spPr>
                </pic:pic>
              </a:graphicData>
            </a:graphic>
          </wp:inline>
        </w:drawing>
      </w:r>
    </w:p>
    <w:p w14:paraId="0484ED8A" w14:textId="64EA0DB5" w:rsidR="005610ED" w:rsidRPr="005F4FFE" w:rsidRDefault="005610ED" w:rsidP="00C66CED">
      <w:pPr>
        <w:pStyle w:val="LFTBody"/>
        <w:rPr>
          <w:rFonts w:asciiTheme="majorHAnsi" w:hAnsiTheme="majorHAnsi"/>
        </w:rPr>
      </w:pPr>
      <w:r w:rsidRPr="005F4FFE">
        <w:rPr>
          <w:rFonts w:asciiTheme="majorHAnsi" w:hAnsiTheme="majorHAnsi"/>
          <w:b/>
        </w:rPr>
        <w:t>Figure 2.</w:t>
      </w:r>
      <w:r w:rsidR="005F4FFE" w:rsidRPr="005F4FFE">
        <w:rPr>
          <w:rFonts w:asciiTheme="majorHAnsi" w:hAnsiTheme="majorHAnsi"/>
          <w:b/>
        </w:rPr>
        <w:t>8</w:t>
      </w:r>
      <w:r w:rsidRPr="005F4FFE">
        <w:rPr>
          <w:rFonts w:asciiTheme="majorHAnsi" w:hAnsiTheme="majorHAnsi"/>
          <w:b/>
        </w:rPr>
        <w:t xml:space="preserve"> Groundwater contamination susceptibility in Minnesota</w:t>
      </w:r>
      <w:r w:rsidRPr="005F4FFE">
        <w:rPr>
          <w:rFonts w:asciiTheme="majorHAnsi" w:hAnsiTheme="majorHAnsi"/>
        </w:rPr>
        <w:t xml:space="preserve"> (Source</w:t>
      </w:r>
      <w:r w:rsidR="00896BC5">
        <w:rPr>
          <w:rFonts w:asciiTheme="majorHAnsi" w:hAnsiTheme="majorHAnsi"/>
        </w:rPr>
        <w:t>: ©2012</w:t>
      </w:r>
      <w:r w:rsidRPr="005F4FFE">
        <w:rPr>
          <w:rFonts w:asciiTheme="majorHAnsi" w:hAnsiTheme="majorHAnsi"/>
        </w:rPr>
        <w:t xml:space="preserve"> </w:t>
      </w:r>
      <w:r w:rsidR="00766A74" w:rsidRPr="005F4FFE">
        <w:rPr>
          <w:rFonts w:asciiTheme="majorHAnsi" w:hAnsiTheme="majorHAnsi"/>
        </w:rPr>
        <w:t>Minnesota</w:t>
      </w:r>
      <w:r w:rsidRPr="005F4FFE">
        <w:rPr>
          <w:rFonts w:asciiTheme="majorHAnsi" w:hAnsiTheme="majorHAnsi"/>
        </w:rPr>
        <w:t xml:space="preserve"> DNR</w:t>
      </w:r>
      <w:r w:rsidR="00171FFA">
        <w:rPr>
          <w:rFonts w:asciiTheme="majorHAnsi" w:hAnsiTheme="majorHAnsi"/>
        </w:rPr>
        <w:t>, with permission)</w:t>
      </w:r>
      <w:r w:rsidRPr="005F4FFE">
        <w:rPr>
          <w:rFonts w:asciiTheme="majorHAnsi" w:hAnsiTheme="majorHAnsi"/>
        </w:rPr>
        <w:t xml:space="preserve">. </w:t>
      </w:r>
    </w:p>
    <w:p w14:paraId="168B4C02" w14:textId="3559E08B" w:rsidR="000B35C7" w:rsidRDefault="000B35C7" w:rsidP="00C66CED">
      <w:pPr>
        <w:pStyle w:val="LFTBody"/>
      </w:pPr>
      <w:r>
        <w:t xml:space="preserve">The </w:t>
      </w:r>
      <w:hyperlink r:id="rId90" w:history="1">
        <w:r w:rsidRPr="000B35C7">
          <w:rPr>
            <w:rStyle w:val="Hyperlink"/>
          </w:rPr>
          <w:t>MPCA’s Brownfield Program Response Action Plans</w:t>
        </w:r>
      </w:hyperlink>
      <w:r w:rsidR="00A10514">
        <w:t>, 2013</w:t>
      </w:r>
      <w:r>
        <w:t xml:space="preserve"> (RAP) provides guidance for stormwater management at sites under the Petroleum Brownfields (PB) Program and the Voluntary Investigation and Cleanup (VIC) Program. While the Brownfield program does not approve stormwater plans, the </w:t>
      </w:r>
      <w:r w:rsidR="0049029E">
        <w:t>MPCA</w:t>
      </w:r>
      <w:r>
        <w:t xml:space="preserve"> does require </w:t>
      </w:r>
      <w:r w:rsidR="0049029E">
        <w:t xml:space="preserve">that </w:t>
      </w:r>
      <w:r>
        <w:t>applicable stormwater design information</w:t>
      </w:r>
      <w:r w:rsidR="0049029E">
        <w:t xml:space="preserve"> be included in the RAP</w:t>
      </w:r>
      <w:r>
        <w:t xml:space="preserve">. This program offers the following </w:t>
      </w:r>
      <w:r w:rsidRPr="00F47691">
        <w:t>options</w:t>
      </w:r>
      <w:r w:rsidR="00C36862" w:rsidRPr="00F47691">
        <w:t xml:space="preserve"> (</w:t>
      </w:r>
      <w:r w:rsidR="00C36862" w:rsidRPr="00346564">
        <w:t>MPCA, 2013</w:t>
      </w:r>
      <w:r w:rsidR="00C36862" w:rsidRPr="00F47691">
        <w:t>)</w:t>
      </w:r>
      <w:r w:rsidRPr="00F47691">
        <w:t>:</w:t>
      </w:r>
    </w:p>
    <w:p w14:paraId="649656B5" w14:textId="6D9B6CF6" w:rsidR="000B35C7" w:rsidRDefault="00C36862" w:rsidP="00B54AE3">
      <w:pPr>
        <w:pStyle w:val="LFTBullet1"/>
      </w:pPr>
      <w:r>
        <w:lastRenderedPageBreak/>
        <w:t xml:space="preserve">Locate the stormwater management </w:t>
      </w:r>
      <w:r w:rsidR="000B35C7">
        <w:t>to a</w:t>
      </w:r>
      <w:r w:rsidR="0049029E">
        <w:t xml:space="preserve">n area of the </w:t>
      </w:r>
      <w:r w:rsidR="000B35C7">
        <w:t>site that is not anticipated to mobilize contaminants.</w:t>
      </w:r>
    </w:p>
    <w:p w14:paraId="4642BF75" w14:textId="453779F4" w:rsidR="000B35C7" w:rsidRDefault="000B35C7" w:rsidP="00B54AE3">
      <w:pPr>
        <w:pStyle w:val="LFTBullet1"/>
      </w:pPr>
      <w:r>
        <w:t>Model the subsurface hydrologic setting to demonstrate that existing or residual contamination will not be adversely affected by the stormwater design feature.</w:t>
      </w:r>
    </w:p>
    <w:p w14:paraId="7341FA97" w14:textId="17221DC9" w:rsidR="000B35C7" w:rsidRDefault="000B35C7" w:rsidP="00B54AE3">
      <w:pPr>
        <w:pStyle w:val="LFTBullet1"/>
      </w:pPr>
      <w:r>
        <w:t>Remove soil contamination so as to accommodate infiltration practices.</w:t>
      </w:r>
    </w:p>
    <w:p w14:paraId="5F2ED4B3" w14:textId="72380C4E" w:rsidR="00972240" w:rsidRDefault="00972240" w:rsidP="00B54AE3">
      <w:pPr>
        <w:pStyle w:val="LFTBullet1"/>
      </w:pPr>
      <w:r>
        <w:t>Consider a non-infiltration stormwater management system</w:t>
      </w:r>
      <w:r w:rsidR="002E7C38">
        <w:t>.</w:t>
      </w:r>
    </w:p>
    <w:p w14:paraId="672B4DD5" w14:textId="74E7967F" w:rsidR="001F046A" w:rsidRPr="00D91C6D" w:rsidRDefault="00C66CED" w:rsidP="00C66CED">
      <w:pPr>
        <w:pStyle w:val="LFTHeading3"/>
      </w:pPr>
      <w:bookmarkStart w:id="22" w:name="_Toc395180911"/>
      <w:r>
        <w:t>2.7.</w:t>
      </w:r>
      <w:bookmarkEnd w:id="22"/>
      <w:r w:rsidR="005610ED">
        <w:t xml:space="preserve">3 </w:t>
      </w:r>
      <w:r w:rsidR="00437428">
        <w:t>How to Determine if a Site Might be Contaminated</w:t>
      </w:r>
    </w:p>
    <w:p w14:paraId="27DEB137" w14:textId="403F4F52" w:rsidR="00AC1172" w:rsidRDefault="00AC1172" w:rsidP="002A652B">
      <w:pPr>
        <w:pStyle w:val="LFTBody"/>
        <w:rPr>
          <w:sz w:val="22"/>
        </w:rPr>
      </w:pPr>
      <w:r>
        <w:t xml:space="preserve">Sources for information on determining site contamination are available from both the American Society for Testing and Materials (ASTM) and USEPA. These agencies provide information on the basics of performing Phase I Environmental Site Assessments (ESA). The purpose of a Phase I ESA is to identify recognized environmental conditions (RECs), as defined by </w:t>
      </w:r>
      <w:r w:rsidR="00153E62">
        <w:t>ASTM, which</w:t>
      </w:r>
      <w:r>
        <w:t xml:space="preserve"> may exist on a site and assess whether any environmental impacts were likely present based on current and/or past on-site activities.  An ESA is conducted in accordance with the current ASTM Practice E 1527-13, Standard Practice for Environmental Site Assessments: Phase I Environmental Site Assessment Process and 40 CFR Part 312, Standards and Practices for All Appropriate Inquiries.  At a minimum, a Phase I ESA should include:</w:t>
      </w:r>
    </w:p>
    <w:p w14:paraId="25414F78" w14:textId="77777777" w:rsidR="00AC1172" w:rsidRDefault="00AC1172" w:rsidP="00153E62">
      <w:pPr>
        <w:pStyle w:val="LFTMemoBULLET"/>
        <w:rPr>
          <w:rFonts w:ascii="Calibri" w:hAnsi="Calibri"/>
          <w:szCs w:val="22"/>
        </w:rPr>
      </w:pPr>
      <w:r>
        <w:t>A reconnaissance of the site to evaluate current property use and conditions, and observations of current general land use and conditions in the area immediately surrounding the site.</w:t>
      </w:r>
    </w:p>
    <w:p w14:paraId="559262D1" w14:textId="77777777" w:rsidR="00AC1172" w:rsidRDefault="00AC1172" w:rsidP="00153E62">
      <w:pPr>
        <w:pStyle w:val="LFTMemoBULLET"/>
      </w:pPr>
      <w:r>
        <w:t>A Review of property history utilizing the following information sources as available:</w:t>
      </w:r>
    </w:p>
    <w:p w14:paraId="6BE5DCEA" w14:textId="77777777" w:rsidR="00AC1172" w:rsidRDefault="00AC1172" w:rsidP="00B54AE3">
      <w:pPr>
        <w:pStyle w:val="LFTBullet2"/>
      </w:pPr>
      <w:r>
        <w:t>Street directories</w:t>
      </w:r>
    </w:p>
    <w:p w14:paraId="6C58F9E9" w14:textId="77777777" w:rsidR="00AC1172" w:rsidRDefault="00AC1172" w:rsidP="00B54AE3">
      <w:pPr>
        <w:pStyle w:val="LFTBullet2"/>
      </w:pPr>
      <w:r>
        <w:t>Aerial photographs</w:t>
      </w:r>
    </w:p>
    <w:p w14:paraId="2C78580E" w14:textId="77777777" w:rsidR="00AC1172" w:rsidRDefault="00AC1172" w:rsidP="00B54AE3">
      <w:pPr>
        <w:pStyle w:val="LFTBullet2"/>
      </w:pPr>
      <w:r>
        <w:t>Topographic maps</w:t>
      </w:r>
    </w:p>
    <w:p w14:paraId="1FD6E708" w14:textId="77777777" w:rsidR="00AC1172" w:rsidRDefault="00AC1172" w:rsidP="00B54AE3">
      <w:pPr>
        <w:pStyle w:val="LFTBullet2"/>
      </w:pPr>
      <w:r>
        <w:t>Sanborn, Kroll, Metzker and/or other historical maps</w:t>
      </w:r>
    </w:p>
    <w:p w14:paraId="1269DE7F" w14:textId="77777777" w:rsidR="00AC1172" w:rsidRDefault="00AC1172" w:rsidP="00B54AE3">
      <w:pPr>
        <w:pStyle w:val="LFTBullet2"/>
      </w:pPr>
      <w:r>
        <w:t>Historical tax assessor records</w:t>
      </w:r>
    </w:p>
    <w:p w14:paraId="028977A5" w14:textId="77777777" w:rsidR="00AC1172" w:rsidRDefault="00AC1172" w:rsidP="00153E62">
      <w:pPr>
        <w:pStyle w:val="LFTMemoBULLET"/>
      </w:pPr>
      <w:r>
        <w:t>Interview of persons knowledgeable of the property and area to obtain current and historical information (i.e., current property owner, tenants etc.).</w:t>
      </w:r>
    </w:p>
    <w:p w14:paraId="6EBFAFAF" w14:textId="77777777" w:rsidR="00AC1172" w:rsidRDefault="00AC1172" w:rsidP="00153E62">
      <w:pPr>
        <w:pStyle w:val="LFTMemoBULLET"/>
      </w:pPr>
      <w:r>
        <w:t>Examination of state and federal records to identify if the property and adjacent or nearby properties or businesses are documented hazardous waste generators and/or are known or suspected of having contamination.</w:t>
      </w:r>
    </w:p>
    <w:p w14:paraId="4AC3B600" w14:textId="77777777" w:rsidR="00AC1172" w:rsidRDefault="00AC1172" w:rsidP="00153E62">
      <w:pPr>
        <w:pStyle w:val="LFTMemoBULLET"/>
      </w:pPr>
      <w:r>
        <w:t>Review of information provided by the owner, such as prior environmental reports, information on environmental cleanup liens, activity and land use limitations, purchase price relative to fair market value of the property, commonly known information regarding the property, as well as the chain-of-title, site drawings, and other pertinent information.</w:t>
      </w:r>
    </w:p>
    <w:p w14:paraId="5129FE48" w14:textId="77777777" w:rsidR="00AC1172" w:rsidRDefault="00AC1172" w:rsidP="00153E62">
      <w:pPr>
        <w:pStyle w:val="LFTMemoBULLET"/>
      </w:pPr>
      <w:r>
        <w:t>Preparation of a report that presents findings, opinions, and conclusions regarding contamination or the potential for contamination on or near the site.</w:t>
      </w:r>
    </w:p>
    <w:p w14:paraId="530CF9A8" w14:textId="77777777" w:rsidR="00AC1172" w:rsidRPr="00AC1172" w:rsidRDefault="00AC1172" w:rsidP="00AC1172">
      <w:pPr>
        <w:pStyle w:val="LFTBody"/>
      </w:pPr>
      <w:r w:rsidRPr="00AC1172">
        <w:lastRenderedPageBreak/>
        <w:t>Indications of contamination could include discolored soil or standing water, unusual odors, dead or weak vegetation, and/or mismanaged drums or chemical containers.</w:t>
      </w:r>
    </w:p>
    <w:p w14:paraId="33D27248" w14:textId="06497B3B" w:rsidR="00AC1172" w:rsidRPr="00AC1172" w:rsidRDefault="00AC1172" w:rsidP="00AC1172">
      <w:pPr>
        <w:pStyle w:val="LFTBody"/>
      </w:pPr>
      <w:r w:rsidRPr="00AC1172">
        <w:t xml:space="preserve">USEPA’s </w:t>
      </w:r>
      <w:hyperlink r:id="rId91" w:history="1">
        <w:r w:rsidRPr="00AC1172">
          <w:t xml:space="preserve">EnviroMapper </w:t>
        </w:r>
      </w:hyperlink>
      <w:r w:rsidRPr="00AC1172">
        <w:t xml:space="preserve">and the MPCA’s </w:t>
      </w:r>
      <w:hyperlink r:id="rId92" w:history="1">
        <w:r w:rsidRPr="00AC1172">
          <w:t>What’s in My Neighborhood</w:t>
        </w:r>
      </w:hyperlink>
      <w:r w:rsidRPr="00AC1172">
        <w:t xml:space="preserve"> are online tools that can be used to research environmental information for specific sites and locations. </w:t>
      </w:r>
    </w:p>
    <w:p w14:paraId="2B76FC3D" w14:textId="77777777" w:rsidR="00AC1172" w:rsidRDefault="00AC1172" w:rsidP="00AC1172">
      <w:pPr>
        <w:pStyle w:val="LFTBody"/>
        <w:rPr>
          <w:sz w:val="22"/>
        </w:rPr>
      </w:pPr>
      <w:r>
        <w:rPr>
          <w:sz w:val="22"/>
        </w:rPr>
        <w:t xml:space="preserve">If sources or potential sources of contamination are determined through a Phase I ESA, a Phase II ESA should be conducted, which may include soil and groundwater sampling and regulatory concentration analysis. If unacceptable levels of pollutants are determined to be present, a supplemental site assessment may be performed per local and federal regulations, to assess the extent of the extent of soil and/or water contamination. Several qualified environmental assessment firms typically perform ESA services in Minnesota. </w:t>
      </w:r>
    </w:p>
    <w:p w14:paraId="367023A1" w14:textId="5744CB34" w:rsidR="00153E62" w:rsidRDefault="00153E62" w:rsidP="00AC1172">
      <w:pPr>
        <w:pStyle w:val="LFTBody"/>
        <w:rPr>
          <w:sz w:val="22"/>
        </w:rPr>
      </w:pPr>
      <w:r w:rsidRPr="002D216D">
        <w:t xml:space="preserve">The </w:t>
      </w:r>
      <w:r>
        <w:t xml:space="preserve">U.S. </w:t>
      </w:r>
      <w:r w:rsidRPr="002D216D">
        <w:t xml:space="preserve">EPA publication titled </w:t>
      </w:r>
      <w:hyperlink r:id="rId93" w:history="1">
        <w:r w:rsidRPr="007308F1">
          <w:rPr>
            <w:rStyle w:val="Hyperlink"/>
          </w:rPr>
          <w:t>Implementing Stormwater Infiltration Practices at Vacant Parcels and Brownfield Sites</w:t>
        </w:r>
      </w:hyperlink>
      <w:r w:rsidRPr="005F4FFE">
        <w:t xml:space="preserve"> (</w:t>
      </w:r>
      <w:r>
        <w:t xml:space="preserve">U.S. </w:t>
      </w:r>
      <w:r w:rsidRPr="005F4FFE">
        <w:t>EPA, 2013)</w:t>
      </w:r>
      <w:r>
        <w:t xml:space="preserve"> provides</w:t>
      </w:r>
      <w:r w:rsidRPr="002D216D">
        <w:t xml:space="preserve"> a general overview of </w:t>
      </w:r>
      <w:r>
        <w:t>the investigative process.</w:t>
      </w:r>
    </w:p>
    <w:p w14:paraId="01C93A1C" w14:textId="6AC3CEF6" w:rsidR="001F046A" w:rsidRPr="00D91C6D" w:rsidRDefault="00C66CED" w:rsidP="00C66CED">
      <w:pPr>
        <w:pStyle w:val="LFTHeading3"/>
      </w:pPr>
      <w:bookmarkStart w:id="23" w:name="_Toc395180912"/>
      <w:r>
        <w:t>2.7.</w:t>
      </w:r>
      <w:bookmarkEnd w:id="23"/>
      <w:r w:rsidR="00DC1C7A">
        <w:t xml:space="preserve">4 </w:t>
      </w:r>
      <w:r w:rsidR="00437428" w:rsidRPr="00D91C6D">
        <w:t xml:space="preserve">What are General Stormwater Management Guidelines for </w:t>
      </w:r>
      <w:r w:rsidR="00437428">
        <w:t>Contaminated Sites</w:t>
      </w:r>
      <w:r w:rsidR="00437428" w:rsidRPr="00D91C6D">
        <w:t>?</w:t>
      </w:r>
    </w:p>
    <w:p w14:paraId="5FE1825F" w14:textId="3B1AA09C" w:rsidR="006F2F96" w:rsidRPr="006F2F96" w:rsidRDefault="00153E62" w:rsidP="00B54AE3">
      <w:pPr>
        <w:pStyle w:val="LFTHeading4"/>
      </w:pPr>
      <w:r>
        <w:t>2.7.4.1</w:t>
      </w:r>
      <w:r>
        <w:tab/>
      </w:r>
      <w:r w:rsidR="006F2F96" w:rsidRPr="006F2F96">
        <w:t>General Guidelines</w:t>
      </w:r>
    </w:p>
    <w:p w14:paraId="6E80D343" w14:textId="373BB7FC" w:rsidR="00294E6A" w:rsidRPr="002D216D" w:rsidRDefault="00294E6A" w:rsidP="00294E6A">
      <w:pPr>
        <w:pStyle w:val="LFTBody"/>
      </w:pPr>
      <w:r>
        <w:t xml:space="preserve">Managing stormwater at sites with contaminated soils </w:t>
      </w:r>
      <w:r w:rsidR="00B7694C">
        <w:t xml:space="preserve">or groundwater is challenging because the </w:t>
      </w:r>
      <w:r w:rsidR="00B0495B">
        <w:t xml:space="preserve">infiltrated </w:t>
      </w:r>
      <w:r w:rsidR="00B7694C">
        <w:t xml:space="preserve">runoff </w:t>
      </w:r>
      <w:r w:rsidR="00B0495B">
        <w:t>has the potential to</w:t>
      </w:r>
      <w:r w:rsidR="00B7694C">
        <w:t xml:space="preserve"> transport contaminants to the surface or groundwater.</w:t>
      </w:r>
      <w:r>
        <w:t xml:space="preserve"> </w:t>
      </w:r>
      <w:r w:rsidRPr="002D216D">
        <w:t xml:space="preserve"> Stormwater </w:t>
      </w:r>
      <w:r>
        <w:t>at contaminated sites can be</w:t>
      </w:r>
      <w:r w:rsidRPr="002D216D">
        <w:t xml:space="preserve"> managed by capture</w:t>
      </w:r>
      <w:r>
        <w:t xml:space="preserve"> and</w:t>
      </w:r>
      <w:r w:rsidRPr="002D216D">
        <w:t xml:space="preserve"> treatment</w:t>
      </w:r>
      <w:r>
        <w:t xml:space="preserve">, as infiltration, or through avoiding contact between runoff and contaminated soils and groundwater </w:t>
      </w:r>
      <w:r w:rsidRPr="002D216D">
        <w:t xml:space="preserve">(Hollander et al., 2010). </w:t>
      </w:r>
    </w:p>
    <w:p w14:paraId="59DD931B" w14:textId="77777777" w:rsidR="00B0495B" w:rsidRDefault="004804C5">
      <w:pPr>
        <w:pStyle w:val="LFTBody"/>
      </w:pPr>
      <w:r>
        <w:t>Another complication with contaminated sites, beyond the contamination itself, is the fact that remediation for redevelopment usually involves the placement of an impermeable cap over the contaminated area. This creates a challenge for the designers as it limits the space available for stormwater management and increases the amount of runoff that must be managed.</w:t>
      </w:r>
      <w:r w:rsidR="00B0495B">
        <w:t xml:space="preserve"> </w:t>
      </w:r>
    </w:p>
    <w:p w14:paraId="5CDF64C1" w14:textId="0B03CB7F" w:rsidR="00B53062" w:rsidRPr="00F47691" w:rsidRDefault="00B53062">
      <w:pPr>
        <w:pStyle w:val="LFTBody"/>
      </w:pPr>
      <w:r>
        <w:t xml:space="preserve">Direct infiltration into the subsurface is not recommended at most contaminated sites as it could mobilize the pollution into the groundwater </w:t>
      </w:r>
      <w:r w:rsidR="00DC1C7A">
        <w:t>and</w:t>
      </w:r>
      <w:r>
        <w:t xml:space="preserve"> will move the plume off the site. Instead, practices should be used that </w:t>
      </w:r>
      <w:r w:rsidR="004804C5">
        <w:t>“</w:t>
      </w:r>
      <w:r>
        <w:t xml:space="preserve">can </w:t>
      </w:r>
      <w:r w:rsidR="004804C5">
        <w:t>retrain,</w:t>
      </w:r>
      <w:r>
        <w:t xml:space="preserve"> treat</w:t>
      </w:r>
      <w:r w:rsidR="004804C5">
        <w:t xml:space="preserve"> and </w:t>
      </w:r>
      <w:r w:rsidR="004804C5" w:rsidRPr="00F47691">
        <w:t>then</w:t>
      </w:r>
      <w:r w:rsidRPr="00F47691">
        <w:t xml:space="preserve"> release the stormwater without allowing the water to come in contact with the contaminated soil</w:t>
      </w:r>
      <w:r w:rsidR="003929DE" w:rsidRPr="00F47691">
        <w:t>”</w:t>
      </w:r>
      <w:r w:rsidRPr="00F47691">
        <w:t xml:space="preserve"> (</w:t>
      </w:r>
      <w:r w:rsidRPr="00346564">
        <w:t>EPA, 2008</w:t>
      </w:r>
      <w:r w:rsidRPr="00F47691">
        <w:t>).</w:t>
      </w:r>
    </w:p>
    <w:p w14:paraId="636FFEBB" w14:textId="68D26832" w:rsidR="00FC072E" w:rsidRDefault="003C64EF" w:rsidP="00C66CED">
      <w:pPr>
        <w:pStyle w:val="LFTBody"/>
      </w:pPr>
      <w:r w:rsidRPr="00F47691">
        <w:t>When designing a stormwater management system at a</w:t>
      </w:r>
      <w:r w:rsidR="003F755A" w:rsidRPr="00F47691">
        <w:t xml:space="preserve"> contaminated site</w:t>
      </w:r>
      <w:r w:rsidRPr="00F47691">
        <w:t>, it</w:t>
      </w:r>
      <w:r w:rsidR="003F755A" w:rsidRPr="00F47691">
        <w:t xml:space="preserve"> is</w:t>
      </w:r>
      <w:r w:rsidRPr="00F47691">
        <w:t xml:space="preserve"> important</w:t>
      </w:r>
      <w:r w:rsidR="003F755A" w:rsidRPr="00F47691">
        <w:t xml:space="preserve"> to acquire a thorough understanding </w:t>
      </w:r>
      <w:r w:rsidR="00DC1C7A" w:rsidRPr="00F47691">
        <w:t xml:space="preserve">of </w:t>
      </w:r>
      <w:r w:rsidR="003F755A" w:rsidRPr="00F47691">
        <w:t xml:space="preserve">both the types and locations of the contamination present, </w:t>
      </w:r>
      <w:r w:rsidR="00DC1C7A" w:rsidRPr="00F47691">
        <w:t>as well as the</w:t>
      </w:r>
      <w:r w:rsidR="003F755A" w:rsidRPr="00F47691">
        <w:t xml:space="preserve"> subsurface conditions at the site (</w:t>
      </w:r>
      <w:r w:rsidR="003F755A" w:rsidRPr="00346564">
        <w:t>SEMCOG, 2008</w:t>
      </w:r>
      <w:r w:rsidR="003F755A" w:rsidRPr="00F47691">
        <w:t>).</w:t>
      </w:r>
      <w:r w:rsidR="003929DE" w:rsidRPr="00F47691">
        <w:t xml:space="preserve"> Of particular concern are those contaminates that are mobile and/or biodegradable as those will have the greatest potential to impact the groundwater (</w:t>
      </w:r>
      <w:r w:rsidR="003929DE" w:rsidRPr="00346564">
        <w:t>EPA, 2013</w:t>
      </w:r>
      <w:r w:rsidR="003929DE" w:rsidRPr="00F47691">
        <w:t>).</w:t>
      </w:r>
      <w:r w:rsidR="003929DE">
        <w:t xml:space="preserve"> </w:t>
      </w:r>
      <w:r w:rsidR="00FC072E">
        <w:t>Other sources of contamination could still be a concern, however</w:t>
      </w:r>
      <w:r w:rsidR="00432A95">
        <w:t>, and need to be considered</w:t>
      </w:r>
      <w:r w:rsidR="00FC072E">
        <w:t>. For example, metals are often filtered out near the surface because they bind to the suspended solids. In some situations, however, t</w:t>
      </w:r>
      <w:r w:rsidR="008C0687">
        <w:t xml:space="preserve">he pH of the stormwater runoff </w:t>
      </w:r>
      <w:r w:rsidR="00FC072E">
        <w:t>or the</w:t>
      </w:r>
      <w:r w:rsidR="008C0687">
        <w:t xml:space="preserve"> presence of other contaminants</w:t>
      </w:r>
      <w:r w:rsidR="00FC072E">
        <w:t xml:space="preserve"> can cause the metals to remobilize and filter into the subsurface where they would then have the potential to reach the groundwater.</w:t>
      </w:r>
      <w:r w:rsidR="00DC1C7A">
        <w:t xml:space="preserve"> </w:t>
      </w:r>
      <w:r w:rsidR="00432A95">
        <w:t>Careful consideration must be used when designing any stormwater BMP at a contaminated site.</w:t>
      </w:r>
    </w:p>
    <w:p w14:paraId="2147C953" w14:textId="339B4CBA" w:rsidR="0011246C" w:rsidRDefault="0011246C" w:rsidP="0011246C">
      <w:pPr>
        <w:pStyle w:val="LFTBody"/>
      </w:pPr>
      <w:r>
        <w:t xml:space="preserve">The EPA provides the following guidelines for incorporating green infrastructure into a Brownfield site in their document titled </w:t>
      </w:r>
      <w:hyperlink r:id="rId94" w:history="1">
        <w:r w:rsidRPr="006050C5">
          <w:rPr>
            <w:rStyle w:val="Hyperlink"/>
          </w:rPr>
          <w:t>Design Principles for Stormwater Management on Compacted, Contaminated Soils in Dense Urban Areas</w:t>
        </w:r>
      </w:hyperlink>
      <w:r w:rsidR="008C0687">
        <w:t xml:space="preserve"> (EPA, 2008).</w:t>
      </w:r>
    </w:p>
    <w:p w14:paraId="5A033F55" w14:textId="77777777" w:rsidR="0011246C" w:rsidRDefault="0011246C" w:rsidP="0011246C">
      <w:pPr>
        <w:pStyle w:val="LFTBullet1"/>
      </w:pPr>
      <w:r>
        <w:rPr>
          <w:b/>
          <w:bCs/>
        </w:rPr>
        <w:lastRenderedPageBreak/>
        <w:t xml:space="preserve">Guideline #1: </w:t>
      </w:r>
      <w:r>
        <w:t xml:space="preserve">Differentiate between groups of contaminants as a way to better minimize risks. </w:t>
      </w:r>
    </w:p>
    <w:p w14:paraId="49A172F9" w14:textId="77777777" w:rsidR="0011246C" w:rsidRDefault="0011246C" w:rsidP="0011246C">
      <w:pPr>
        <w:pStyle w:val="LFTBullet1"/>
      </w:pPr>
      <w:r>
        <w:rPr>
          <w:b/>
          <w:bCs/>
        </w:rPr>
        <w:t xml:space="preserve">Guideline #2: </w:t>
      </w:r>
      <w:r>
        <w:t xml:space="preserve">Keep non-contaminated stormwater separate from contaminated soils and water to prevent leaching and spreading of contaminants. </w:t>
      </w:r>
    </w:p>
    <w:p w14:paraId="51C4A527" w14:textId="77777777" w:rsidR="0011246C" w:rsidRDefault="0011246C" w:rsidP="0011246C">
      <w:pPr>
        <w:pStyle w:val="LFTBullet1"/>
      </w:pPr>
      <w:r>
        <w:rPr>
          <w:b/>
          <w:bCs/>
        </w:rPr>
        <w:t xml:space="preserve">Guideline #3: </w:t>
      </w:r>
      <w:r>
        <w:t xml:space="preserve">Prevent soil erosion using vegetation, such as existing trees, and structural practices like swales or sediment basins. </w:t>
      </w:r>
    </w:p>
    <w:p w14:paraId="31DD5E01" w14:textId="47837BC2" w:rsidR="00F826DE" w:rsidRDefault="0011246C" w:rsidP="0011246C">
      <w:pPr>
        <w:pStyle w:val="LFTBullet1"/>
      </w:pPr>
      <w:r>
        <w:rPr>
          <w:b/>
          <w:bCs/>
        </w:rPr>
        <w:t xml:space="preserve">Guideline #4: </w:t>
      </w:r>
      <w:r>
        <w:t>Include measures that minimize runoff on all new development within and adjacent to a brownfield. These measures include green roofs, green walls, large trees, and rainwater cisterns.</w:t>
      </w:r>
    </w:p>
    <w:p w14:paraId="1A2F8EBB" w14:textId="264BCD6E" w:rsidR="0011246C" w:rsidRDefault="0011246C" w:rsidP="0011246C">
      <w:pPr>
        <w:pStyle w:val="LFTBullet1"/>
        <w:numPr>
          <w:ilvl w:val="0"/>
          <w:numId w:val="0"/>
        </w:numPr>
        <w:rPr>
          <w:bCs/>
        </w:rPr>
      </w:pPr>
      <w:r w:rsidRPr="0011246C">
        <w:rPr>
          <w:bCs/>
        </w:rPr>
        <w:t xml:space="preserve">Additional </w:t>
      </w:r>
      <w:r>
        <w:rPr>
          <w:bCs/>
        </w:rPr>
        <w:t xml:space="preserve">guidelines can be found in the Low Impact Development Manual for Michigan (SEMCOG, 2008). The guidelines presented </w:t>
      </w:r>
      <w:r w:rsidR="00DC1C7A">
        <w:rPr>
          <w:bCs/>
        </w:rPr>
        <w:t>in the document</w:t>
      </w:r>
      <w:r>
        <w:rPr>
          <w:bCs/>
        </w:rPr>
        <w:t xml:space="preserve"> have been reviewed and adapted by the Michigan Department of environmental quality and consist of:</w:t>
      </w:r>
    </w:p>
    <w:p w14:paraId="6021E95B" w14:textId="1CBC7A3B" w:rsidR="0011246C" w:rsidRDefault="0011246C" w:rsidP="00B54AE3">
      <w:pPr>
        <w:pStyle w:val="LFTBullet1"/>
      </w:pPr>
      <w:r w:rsidRPr="006B2E0A">
        <w:rPr>
          <w:b/>
        </w:rPr>
        <w:t>Avoid infiltration practices in contaminated areas.</w:t>
      </w:r>
      <w:r>
        <w:t xml:space="preserve"> Practices that could be considered are detention, retention, and biofiltration, as long as the runoff does not achieve complete </w:t>
      </w:r>
      <w:r w:rsidR="006B2E0A">
        <w:t xml:space="preserve">infiltration in the underlying soils. The runoff could be </w:t>
      </w:r>
      <w:r>
        <w:t>treat</w:t>
      </w:r>
      <w:r w:rsidR="006B2E0A">
        <w:t>ed</w:t>
      </w:r>
      <w:r>
        <w:t xml:space="preserve"> and store</w:t>
      </w:r>
      <w:r w:rsidR="006B2E0A">
        <w:t>d and, i</w:t>
      </w:r>
      <w:r>
        <w:t>n some cases</w:t>
      </w:r>
      <w:r w:rsidR="006B2E0A">
        <w:t>,</w:t>
      </w:r>
      <w:r>
        <w:t xml:space="preserve"> be reused for other things.</w:t>
      </w:r>
      <w:r w:rsidR="006B2E0A">
        <w:t xml:space="preserve"> In many cases a liner and underdrain will be required to ensure that the runoff does not come in contact with the contaminated soil.</w:t>
      </w:r>
    </w:p>
    <w:p w14:paraId="244F9965" w14:textId="39F8842E" w:rsidR="006B2E0A" w:rsidRDefault="006B2E0A" w:rsidP="00B54AE3">
      <w:pPr>
        <w:pStyle w:val="LFTBullet1"/>
      </w:pPr>
      <w:r w:rsidRPr="006B2E0A">
        <w:rPr>
          <w:b/>
        </w:rPr>
        <w:t>Retain/re-vegetate trees and vegetation</w:t>
      </w:r>
      <w:r>
        <w:t xml:space="preserve">. </w:t>
      </w:r>
      <w:r w:rsidR="001E24FA">
        <w:t>Vegetation will capture and evapotranspire the stormwater runoff as well as intercept some of the rainfall before it hits the ground.</w:t>
      </w:r>
    </w:p>
    <w:p w14:paraId="08F0E433" w14:textId="2D230675" w:rsidR="006B2E0A" w:rsidRDefault="006B2E0A" w:rsidP="00B54AE3">
      <w:pPr>
        <w:pStyle w:val="LFTBullet1"/>
      </w:pPr>
      <w:r w:rsidRPr="006B2E0A">
        <w:rPr>
          <w:b/>
        </w:rPr>
        <w:t>Implement practices that encourage evapotranspiration and capture/reuse</w:t>
      </w:r>
      <w:r>
        <w:t xml:space="preserve">. </w:t>
      </w:r>
      <w:r w:rsidR="001E24FA">
        <w:t xml:space="preserve">This relates the above bullet about retaining/re-vegetating the site but also includes practices such as green roofs and cisterns. </w:t>
      </w:r>
    </w:p>
    <w:p w14:paraId="3C3E5E5E" w14:textId="44440F6C" w:rsidR="006F2F96" w:rsidRPr="006F2F96" w:rsidRDefault="00B0495B" w:rsidP="00C66CED">
      <w:pPr>
        <w:pStyle w:val="LFTBody"/>
        <w:rPr>
          <w:b/>
        </w:rPr>
      </w:pPr>
      <w:r>
        <w:rPr>
          <w:b/>
        </w:rPr>
        <w:t>2.7.4.</w:t>
      </w:r>
      <w:r w:rsidR="00153E62">
        <w:rPr>
          <w:b/>
        </w:rPr>
        <w:t>2</w:t>
      </w:r>
      <w:r>
        <w:rPr>
          <w:b/>
        </w:rPr>
        <w:t xml:space="preserve"> </w:t>
      </w:r>
      <w:r w:rsidR="008A5B0A">
        <w:rPr>
          <w:b/>
        </w:rPr>
        <w:t>Is it possible to infiltrate near contaminated soils</w:t>
      </w:r>
      <w:r w:rsidRPr="00171FFA">
        <w:rPr>
          <w:rStyle w:val="FootnoteReference"/>
          <w:b/>
        </w:rPr>
        <w:footnoteReference w:id="1"/>
      </w:r>
      <w:r w:rsidR="008A5B0A">
        <w:rPr>
          <w:b/>
        </w:rPr>
        <w:t>?</w:t>
      </w:r>
    </w:p>
    <w:p w14:paraId="79169912" w14:textId="55EE84A8" w:rsidR="006B2E0A" w:rsidRPr="00432A95" w:rsidRDefault="00DC1C7A" w:rsidP="00DC1C7A">
      <w:pPr>
        <w:pStyle w:val="LFTBody"/>
        <w:rPr>
          <w:b/>
        </w:rPr>
      </w:pPr>
      <w:r>
        <w:t xml:space="preserve">While infiltration at contaminated sites is not the most desired stormwater management option, it may be </w:t>
      </w:r>
      <w:r w:rsidR="00B0495B">
        <w:t>highly desirable</w:t>
      </w:r>
      <w:r>
        <w:t xml:space="preserve"> in some </w:t>
      </w:r>
      <w:r w:rsidR="00B0495B">
        <w:t>locations</w:t>
      </w:r>
      <w:r>
        <w:t>.</w:t>
      </w:r>
      <w:r w:rsidR="00414A20">
        <w:t xml:space="preserve"> </w:t>
      </w:r>
      <w:r>
        <w:t xml:space="preserve">If infiltration BMPs are being considered, additional testing </w:t>
      </w:r>
      <w:r w:rsidR="00432A95">
        <w:t xml:space="preserve">and considerations </w:t>
      </w:r>
      <w:r>
        <w:t>will be required to ensure that there are no adverse effects to the groundwater or surrounding area. Of particular concern is the potential of the pollutant to leach into the groundwater. To determine the likelihood of this, the U.S. EPA has developed the</w:t>
      </w:r>
      <w:r w:rsidR="00414A20">
        <w:t xml:space="preserve"> Synthetic Precipitation Leaching Procedure, or SPLP (USEPA Method 1312). First, </w:t>
      </w:r>
      <w:r>
        <w:t>soil is collected</w:t>
      </w:r>
      <w:r w:rsidR="00414A20">
        <w:t xml:space="preserve"> from the contaminated area. Next</w:t>
      </w:r>
      <w:r>
        <w:t>, the soil is mixed</w:t>
      </w:r>
      <w:r w:rsidR="00414A20">
        <w:t xml:space="preserve"> with laboratory grade water and place</w:t>
      </w:r>
      <w:r>
        <w:t>d</w:t>
      </w:r>
      <w:r w:rsidR="00414A20">
        <w:t xml:space="preserve"> into a rotary agitator for 18 hours. After the required time is up, water from the mixture </w:t>
      </w:r>
      <w:r>
        <w:t>is</w:t>
      </w:r>
      <w:r w:rsidR="00414A20">
        <w:t xml:space="preserve"> tested to determine how much of the contamination leached out. The results </w:t>
      </w:r>
      <w:r>
        <w:t>are</w:t>
      </w:r>
      <w:r w:rsidR="00414A20">
        <w:t xml:space="preserve"> be compared to </w:t>
      </w:r>
      <w:r w:rsidR="00B27E82">
        <w:t xml:space="preserve">all applicable standards to see if they exceed any of the limits. </w:t>
      </w:r>
      <w:r>
        <w:t>If the limits are exceeded, infiltration should not be used.</w:t>
      </w:r>
      <w:r w:rsidR="00432A95">
        <w:t xml:space="preserve"> </w:t>
      </w:r>
      <w:r w:rsidR="00432A95">
        <w:rPr>
          <w:b/>
        </w:rPr>
        <w:t xml:space="preserve">Caution should be used when implementing this testing methods as stormwater runoff may react differently with the pollutants than laboratory grade water due </w:t>
      </w:r>
      <w:r w:rsidR="00005BEB">
        <w:rPr>
          <w:b/>
        </w:rPr>
        <w:t>differences in water quality parameters</w:t>
      </w:r>
      <w:r w:rsidR="00432A95">
        <w:rPr>
          <w:b/>
        </w:rPr>
        <w:t>.</w:t>
      </w:r>
    </w:p>
    <w:p w14:paraId="74A7269A" w14:textId="22C2F7A2" w:rsidR="006F2F96" w:rsidRDefault="004453AF" w:rsidP="00D3416B">
      <w:pPr>
        <w:pStyle w:val="LFTBody"/>
      </w:pPr>
      <w:r>
        <w:t xml:space="preserve">Another consideration regarding infiltration at a contaminated site is whether or not the groundwater </w:t>
      </w:r>
      <w:r w:rsidR="00D3416B">
        <w:t xml:space="preserve">present is contaminated since infiltration practices have the ability to accelerate the movement of groundwater. </w:t>
      </w:r>
      <w:r>
        <w:t xml:space="preserve">This relates to sites upstream </w:t>
      </w:r>
      <w:r w:rsidR="006F2F96">
        <w:t xml:space="preserve">and downstream </w:t>
      </w:r>
      <w:r>
        <w:t xml:space="preserve">of contaminated areas as well. </w:t>
      </w:r>
      <w:r w:rsidR="006F2F96">
        <w:t xml:space="preserve">SEMCOG </w:t>
      </w:r>
      <w:r w:rsidR="006F2F96">
        <w:lastRenderedPageBreak/>
        <w:t xml:space="preserve">(2008) </w:t>
      </w:r>
      <w:r w:rsidR="00D3416B">
        <w:t>presents an exception to this restriction. It states that</w:t>
      </w:r>
      <w:r w:rsidR="004607DE">
        <w:t>,</w:t>
      </w:r>
      <w:r w:rsidR="00D3416B">
        <w:t xml:space="preserve"> under some circumstances</w:t>
      </w:r>
      <w:r w:rsidR="004607DE">
        <w:t>,</w:t>
      </w:r>
      <w:r w:rsidR="00D3416B">
        <w:t xml:space="preserve"> </w:t>
      </w:r>
      <w:r w:rsidR="006F2F96">
        <w:t xml:space="preserve">infiltration may be preferable at sites with groundwater contamination </w:t>
      </w:r>
      <w:r w:rsidR="00D3416B">
        <w:t xml:space="preserve">plumes, such as </w:t>
      </w:r>
      <w:r w:rsidR="006F2F96">
        <w:t>site where there is little risk that the contamination will migrate off-site and where natural attenuation is being used as the remediation strategy. In this situation, the “clean” rainwater could help accelerate the process of natural attenuation. Designing and implementing this project would require working closely with experts and regulators to ensure that the contamination is actually being treated and isn’t migrating off site. Monitoring would most likely be required.</w:t>
      </w:r>
    </w:p>
    <w:p w14:paraId="2DBC9BF6" w14:textId="14B56030" w:rsidR="004453AF" w:rsidRDefault="006F2F96" w:rsidP="00C66CED">
      <w:pPr>
        <w:pStyle w:val="LFTBody"/>
      </w:pPr>
      <w:r>
        <w:t xml:space="preserve">It may also be possible to move the infiltration practice to an area on the site that is not contaminated, as long as infiltrating </w:t>
      </w:r>
      <w:r w:rsidR="00D3416B">
        <w:t xml:space="preserve">in that location does </w:t>
      </w:r>
      <w:r w:rsidR="004607DE">
        <w:t>adversely impact</w:t>
      </w:r>
      <w:r>
        <w:t xml:space="preserve"> areas </w:t>
      </w:r>
      <w:r w:rsidR="00D3416B">
        <w:t>the surrounding contaminated areas</w:t>
      </w:r>
      <w:r>
        <w:t>. In some situations, the contaminated soil could be removed and replaced with clean soil, allowing for infiltration</w:t>
      </w:r>
      <w:r w:rsidR="002B2E56">
        <w:t>.</w:t>
      </w:r>
    </w:p>
    <w:p w14:paraId="7CDA1016" w14:textId="343C0DD0" w:rsidR="002B2E56" w:rsidRDefault="002B2E56" w:rsidP="00C66CED">
      <w:pPr>
        <w:pStyle w:val="LFTBody"/>
      </w:pPr>
      <w:r>
        <w:t xml:space="preserve">Before designing and implementing an infiltration BMP at a contaminated site, it should be determined that the infiltration practice will not affect any of the required remediation practices. Infiltration near </w:t>
      </w:r>
      <w:r w:rsidR="00D3416B">
        <w:t xml:space="preserve">vertical </w:t>
      </w:r>
      <w:r>
        <w:t>barriers</w:t>
      </w:r>
      <w:r w:rsidR="00D3416B">
        <w:t>, for example,</w:t>
      </w:r>
      <w:r>
        <w:t xml:space="preserve"> could cause the barriers to fail by causing an increase in hydraulic pressure at the barrier resulting in leaks and decreased effectiveness of the barrier.</w:t>
      </w:r>
    </w:p>
    <w:p w14:paraId="54908D94" w14:textId="735358FD" w:rsidR="002B2E56" w:rsidRDefault="002B2E56" w:rsidP="00C66CED">
      <w:pPr>
        <w:pStyle w:val="LFTBody"/>
      </w:pPr>
      <w:r>
        <w:t>Finally, the impact of the contaminated site on nearby lands need to be</w:t>
      </w:r>
      <w:r w:rsidR="00B54AE3">
        <w:t xml:space="preserve"> </w:t>
      </w:r>
      <w:r w:rsidR="00EC7739">
        <w:t>studied</w:t>
      </w:r>
      <w:r>
        <w:t xml:space="preserve"> when considering the use of an infiltration BMP. When situated near an area that is “relatively more sensitive in terms of potential health risks or ecological risks” additional protection may need to be considered. The factor of safety related to these sites is much greater.</w:t>
      </w:r>
    </w:p>
    <w:p w14:paraId="1D03E0E8" w14:textId="4AA6A65B" w:rsidR="006F2F96" w:rsidRPr="006F2F96" w:rsidRDefault="00B0495B" w:rsidP="0011246C">
      <w:pPr>
        <w:pStyle w:val="LFTBullet1"/>
        <w:numPr>
          <w:ilvl w:val="0"/>
          <w:numId w:val="0"/>
        </w:numPr>
        <w:rPr>
          <w:b/>
        </w:rPr>
      </w:pPr>
      <w:r>
        <w:rPr>
          <w:b/>
        </w:rPr>
        <w:t>2.7.4.</w:t>
      </w:r>
      <w:r w:rsidR="00153E62">
        <w:rPr>
          <w:b/>
        </w:rPr>
        <w:t>3</w:t>
      </w:r>
      <w:r>
        <w:rPr>
          <w:b/>
        </w:rPr>
        <w:t xml:space="preserve"> </w:t>
      </w:r>
      <w:r w:rsidR="006F2F96">
        <w:rPr>
          <w:b/>
        </w:rPr>
        <w:t>Additional Resources</w:t>
      </w:r>
      <w:r w:rsidR="00153E62">
        <w:rPr>
          <w:b/>
        </w:rPr>
        <w:t xml:space="preserve"> for Stormwater Infiltration at Contaminated Sites</w:t>
      </w:r>
    </w:p>
    <w:p w14:paraId="772F2381" w14:textId="5BF15AB2" w:rsidR="006050C5" w:rsidRPr="002D216D" w:rsidRDefault="006050C5" w:rsidP="0011246C">
      <w:pPr>
        <w:pStyle w:val="LFTBullet1"/>
        <w:numPr>
          <w:ilvl w:val="0"/>
          <w:numId w:val="0"/>
        </w:numPr>
      </w:pPr>
      <w:r>
        <w:t>Other resources that may provide more guidance on stormwater management at contaminated sites are provided below:</w:t>
      </w:r>
    </w:p>
    <w:p w14:paraId="09B41C31" w14:textId="77791A42" w:rsidR="001F046A" w:rsidRPr="002D216D" w:rsidRDefault="00F23DB4" w:rsidP="00C66CED">
      <w:pPr>
        <w:pStyle w:val="LFTBullet1"/>
      </w:pPr>
      <w:hyperlink r:id="rId95" w:history="1">
        <w:r w:rsidR="001648AC" w:rsidRPr="001648AC">
          <w:rPr>
            <w:rStyle w:val="Hyperlink"/>
            <w:b/>
            <w:szCs w:val="21"/>
          </w:rPr>
          <w:t>Case Studies for Stormwater Management on Compacted, Contaminated Soils in Dense Urban Areas</w:t>
        </w:r>
      </w:hyperlink>
      <w:r w:rsidR="001648AC" w:rsidRPr="001648AC">
        <w:rPr>
          <w:b/>
          <w:szCs w:val="21"/>
        </w:rPr>
        <w:t xml:space="preserve"> </w:t>
      </w:r>
      <w:r w:rsidR="001648AC" w:rsidRPr="001648AC">
        <w:rPr>
          <w:szCs w:val="21"/>
        </w:rPr>
        <w:t>(EPA, 2008).</w:t>
      </w:r>
      <w:r w:rsidR="00EC7739">
        <w:rPr>
          <w:szCs w:val="21"/>
        </w:rPr>
        <w:t xml:space="preserve"> </w:t>
      </w:r>
      <w:r w:rsidR="00D3416B">
        <w:t>This</w:t>
      </w:r>
      <w:r w:rsidR="000A2FCC">
        <w:t xml:space="preserve"> document is</w:t>
      </w:r>
      <w:r w:rsidR="001F046A" w:rsidRPr="002D216D">
        <w:t xml:space="preserve"> a companion to the EPA document discussed above (Design Principles for Stormwater Management on Compacted, Contaminated Soils in Dense Urban Areas). Three case studies are presented that demonstrate</w:t>
      </w:r>
      <w:r w:rsidR="00D3416B">
        <w:t xml:space="preserve"> the</w:t>
      </w:r>
      <w:r w:rsidR="001F046A" w:rsidRPr="002D216D">
        <w:t xml:space="preserve"> incorporation</w:t>
      </w:r>
      <w:r w:rsidR="00D3416B">
        <w:t xml:space="preserve"> </w:t>
      </w:r>
      <w:r w:rsidR="001F046A" w:rsidRPr="002D216D">
        <w:t xml:space="preserve">of green infrastructure into Brownfield sites. </w:t>
      </w:r>
    </w:p>
    <w:p w14:paraId="53B03C7D" w14:textId="21C708B9" w:rsidR="00D67D93" w:rsidRDefault="00F23DB4" w:rsidP="00D67D93">
      <w:pPr>
        <w:pStyle w:val="LFTBullet1"/>
        <w:rPr>
          <w:color w:val="0081C6" w:themeColor="background2"/>
        </w:rPr>
      </w:pPr>
      <w:hyperlink r:id="rId96" w:history="1">
        <w:r w:rsidR="001648AC" w:rsidRPr="001648AC">
          <w:rPr>
            <w:rStyle w:val="Hyperlink"/>
            <w:b/>
          </w:rPr>
          <w:t>Rhode Island: Section 3.2.8 RISDM Subsurface Contamination Guidance</w:t>
        </w:r>
      </w:hyperlink>
      <w:r w:rsidR="001648AC" w:rsidRPr="001648AC">
        <w:rPr>
          <w:b/>
          <w:color w:val="000000" w:themeColor="text1"/>
        </w:rPr>
        <w:t xml:space="preserve"> </w:t>
      </w:r>
      <w:r w:rsidR="001648AC">
        <w:rPr>
          <w:color w:val="000000" w:themeColor="text1"/>
        </w:rPr>
        <w:t xml:space="preserve">(RISDISM, 2014). </w:t>
      </w:r>
      <w:r w:rsidR="00D3416B" w:rsidRPr="00D3416B">
        <w:rPr>
          <w:color w:val="000000" w:themeColor="text1"/>
        </w:rPr>
        <w:t>This document from</w:t>
      </w:r>
      <w:r w:rsidR="00A66BAF">
        <w:rPr>
          <w:color w:val="000000" w:themeColor="text1"/>
        </w:rPr>
        <w:t xml:space="preserve"> the Rhode Island Department of Environmental Management provides guidance in locating stormwater systems on a contaminated site</w:t>
      </w:r>
      <w:r w:rsidR="00217E18">
        <w:rPr>
          <w:color w:val="000000" w:themeColor="text1"/>
        </w:rPr>
        <w:t xml:space="preserve">. </w:t>
      </w:r>
      <w:r w:rsidR="00A66BAF">
        <w:rPr>
          <w:color w:val="000000" w:themeColor="text1"/>
        </w:rPr>
        <w:t>The authors suggest dividing the site into three zones; red, yellow, and green</w:t>
      </w:r>
      <w:r w:rsidR="00EC7739">
        <w:rPr>
          <w:color w:val="000000" w:themeColor="text1"/>
        </w:rPr>
        <w:t>,</w:t>
      </w:r>
      <w:r w:rsidR="00A66BAF">
        <w:rPr>
          <w:color w:val="000000" w:themeColor="text1"/>
        </w:rPr>
        <w:t xml:space="preserve"> which are based on the allowable hydraulic loads. The red zones are areas with active remediation or know</w:t>
      </w:r>
      <w:r w:rsidR="00EC7739">
        <w:rPr>
          <w:color w:val="000000" w:themeColor="text1"/>
        </w:rPr>
        <w:t>n</w:t>
      </w:r>
      <w:r w:rsidR="00A66BAF">
        <w:rPr>
          <w:color w:val="000000" w:themeColor="text1"/>
        </w:rPr>
        <w:t xml:space="preserve"> contamination on or near the zone. In these areas no hydraulic loading is allowed into the subsurface. A hard cap is required and any BMPs must be lined. </w:t>
      </w:r>
      <w:r w:rsidR="00DD763C">
        <w:rPr>
          <w:color w:val="000000" w:themeColor="text1"/>
        </w:rPr>
        <w:t>In the yellow zone a soft cap or direct precipitation is allowed. The BMPs that are acceptable are those with no concentrated flow. Green zones allow for unrestricted hydraulic loading.</w:t>
      </w:r>
      <w:r w:rsidR="00EC7739">
        <w:rPr>
          <w:color w:val="000000" w:themeColor="text1"/>
        </w:rPr>
        <w:t xml:space="preserve"> The document goes into some detail of hoe to determine the extent of each zone.</w:t>
      </w:r>
    </w:p>
    <w:p w14:paraId="2B0D7C4D" w14:textId="0972942B" w:rsidR="00D67D93" w:rsidRDefault="00F23DB4" w:rsidP="00D67D93">
      <w:pPr>
        <w:pStyle w:val="LFTBullet1"/>
        <w:rPr>
          <w:color w:val="0081C6" w:themeColor="background2"/>
        </w:rPr>
      </w:pPr>
      <w:hyperlink r:id="rId97" w:history="1">
        <w:r w:rsidR="00D67D93" w:rsidRPr="001648AC">
          <w:rPr>
            <w:rStyle w:val="Hyperlink"/>
            <w:b/>
            <w:lang w:bidi="ar-SA"/>
          </w:rPr>
          <w:t>Best Management Practices for Controlling Runoff during Remediation at Contaminated Sites</w:t>
        </w:r>
      </w:hyperlink>
      <w:r w:rsidR="001648AC" w:rsidRPr="001648AC">
        <w:rPr>
          <w:b/>
          <w:lang w:bidi="ar-SA"/>
        </w:rPr>
        <w:t xml:space="preserve"> </w:t>
      </w:r>
      <w:r w:rsidR="001648AC">
        <w:rPr>
          <w:lang w:bidi="ar-SA"/>
        </w:rPr>
        <w:t>(Alachua County Environmental Protection Department, N.D.).</w:t>
      </w:r>
      <w:r w:rsidR="00DD763C">
        <w:rPr>
          <w:lang w:bidi="ar-SA"/>
        </w:rPr>
        <w:t xml:space="preserve"> This factsheet from the Alachua County Environmental Protection Department provides information </w:t>
      </w:r>
      <w:r w:rsidR="00673F80">
        <w:rPr>
          <w:lang w:bidi="ar-SA"/>
        </w:rPr>
        <w:t xml:space="preserve">to guide </w:t>
      </w:r>
      <w:r w:rsidR="00EC7739">
        <w:rPr>
          <w:lang w:bidi="ar-SA"/>
        </w:rPr>
        <w:t xml:space="preserve">the user </w:t>
      </w:r>
      <w:r w:rsidR="00673F80">
        <w:rPr>
          <w:lang w:bidi="ar-SA"/>
        </w:rPr>
        <w:t xml:space="preserve">in the determination of applicable BMPs at petroleum or other contaminated sites. </w:t>
      </w:r>
    </w:p>
    <w:p w14:paraId="3F66573C" w14:textId="3441F256" w:rsidR="006106DF" w:rsidRDefault="00F23DB4" w:rsidP="006106DF">
      <w:pPr>
        <w:pStyle w:val="LFTBullet1"/>
        <w:rPr>
          <w:color w:val="0081C6" w:themeColor="background2"/>
        </w:rPr>
      </w:pPr>
      <w:hyperlink r:id="rId98" w:history="1">
        <w:r w:rsidR="00DD763C" w:rsidRPr="00DD763C">
          <w:rPr>
            <w:rStyle w:val="Hyperlink"/>
            <w:b/>
          </w:rPr>
          <w:t>Sustainable Stormwater Management on Redeveloped Brownfield Sites in New York City</w:t>
        </w:r>
      </w:hyperlink>
      <w:r w:rsidR="00DD763C">
        <w:rPr>
          <w:b/>
          <w:color w:val="0081C6" w:themeColor="background2"/>
        </w:rPr>
        <w:t xml:space="preserve"> </w:t>
      </w:r>
      <w:r w:rsidR="00DD763C" w:rsidRPr="00673F80">
        <w:rPr>
          <w:color w:val="000000" w:themeColor="text1"/>
        </w:rPr>
        <w:t>(Margolis, N.D.; PowerPoint).</w:t>
      </w:r>
      <w:r w:rsidR="00DD763C" w:rsidRPr="00673F80" w:rsidDel="00DD763C">
        <w:rPr>
          <w:color w:val="000000" w:themeColor="text1"/>
        </w:rPr>
        <w:t xml:space="preserve"> </w:t>
      </w:r>
      <w:r w:rsidR="00673F80">
        <w:rPr>
          <w:color w:val="000000" w:themeColor="text1"/>
        </w:rPr>
        <w:t xml:space="preserve">This thesis final presentation provides information regarding stormwater management on redeveloped brownfield sites in New York City. The author suggest maximizing the amount of vegetation as well as utilizing an underdrain system in the BMP. </w:t>
      </w:r>
    </w:p>
    <w:p w14:paraId="542D7AA7" w14:textId="60FA9CAA" w:rsidR="006106DF" w:rsidRDefault="00F23DB4" w:rsidP="006106DF">
      <w:pPr>
        <w:pStyle w:val="LFTBullet1"/>
        <w:rPr>
          <w:color w:val="0081C6" w:themeColor="background2"/>
        </w:rPr>
      </w:pPr>
      <w:hyperlink r:id="rId99" w:history="1">
        <w:r w:rsidR="00DD763C" w:rsidRPr="00DD763C">
          <w:rPr>
            <w:rStyle w:val="Hyperlink"/>
            <w:b/>
          </w:rPr>
          <w:t>Sustainable Water Management</w:t>
        </w:r>
        <w:r w:rsidR="00280D24">
          <w:rPr>
            <w:rStyle w:val="Hyperlink"/>
            <w:b/>
          </w:rPr>
          <w:t xml:space="preserve"> on Brownfield Sit</w:t>
        </w:r>
        <w:r w:rsidR="00DD763C" w:rsidRPr="00DD763C">
          <w:rPr>
            <w:rStyle w:val="Hyperlink"/>
            <w:b/>
          </w:rPr>
          <w:t>es</w:t>
        </w:r>
      </w:hyperlink>
      <w:r w:rsidR="00DD763C">
        <w:rPr>
          <w:b/>
        </w:rPr>
        <w:t xml:space="preserve"> </w:t>
      </w:r>
      <w:r w:rsidR="00DD763C">
        <w:t>(Fenwick, 2012).</w:t>
      </w:r>
      <w:r w:rsidR="00280D24">
        <w:t xml:space="preserve"> This report provides guidance on water management solutions at </w:t>
      </w:r>
      <w:r w:rsidR="00EC7739">
        <w:t>B</w:t>
      </w:r>
      <w:r w:rsidR="00280D24">
        <w:t>rownfield sites.</w:t>
      </w:r>
      <w:r w:rsidR="00F90F6D">
        <w:t xml:space="preserve"> In addition to the other information presented in the report, the authors suggest two low impact development (LID) approaches that have been used successfully on brownfield sites. First is to use impermeable liners or gravel filter blankets in conjunction with the stormwater management practices. Second is to install a rainwater harvesting system.</w:t>
      </w:r>
    </w:p>
    <w:p w14:paraId="6EC85468" w14:textId="638B14FB" w:rsidR="00B0495B" w:rsidRPr="006F2F96" w:rsidRDefault="00B0495B" w:rsidP="00B54AE3">
      <w:pPr>
        <w:pStyle w:val="LFTHeading4"/>
      </w:pPr>
      <w:r>
        <w:t>2.7.4.</w:t>
      </w:r>
      <w:r w:rsidR="00153E62">
        <w:t>4</w:t>
      </w:r>
      <w:r>
        <w:t xml:space="preserve"> Minnesota Case Studies</w:t>
      </w:r>
    </w:p>
    <w:p w14:paraId="11025D5C" w14:textId="65D417B4" w:rsidR="00B0495B" w:rsidRDefault="00B0495B" w:rsidP="00B0495B">
      <w:pPr>
        <w:pStyle w:val="LFTBody"/>
      </w:pPr>
      <w:r>
        <w:t>There have been situations in Minnesota where stormwater has been considered at contaminated sites, as described below.</w:t>
      </w:r>
    </w:p>
    <w:p w14:paraId="10CCE767" w14:textId="5E1A92B0" w:rsidR="00B0495B" w:rsidRDefault="00B0495B" w:rsidP="00B0495B">
      <w:pPr>
        <w:pStyle w:val="LFTMemoBULLET"/>
      </w:pPr>
      <w:r>
        <w:t>Parcel 5 of the 3m East 7th Street Site, VP24800/PB3785.  Infiltration tank.  With the St.Paul Port Authority and won awards for design.</w:t>
      </w:r>
    </w:p>
    <w:p w14:paraId="70338F21" w14:textId="160F6348" w:rsidR="00B0495B" w:rsidRDefault="00B0495B" w:rsidP="00B0495B">
      <w:pPr>
        <w:pStyle w:val="LFTMemoBULLET"/>
      </w:pPr>
      <w:r>
        <w:t>Open Arms Site, VP23670 in S. Mpls.  An infiltration system installed with oversight of SW folks.</w:t>
      </w:r>
    </w:p>
    <w:p w14:paraId="748ABADC" w14:textId="279E3565" w:rsidR="00B0495B" w:rsidRDefault="00B0495B" w:rsidP="00B0495B">
      <w:pPr>
        <w:pStyle w:val="LFTMemoBULLET"/>
      </w:pPr>
      <w:r>
        <w:t>Lunds on Hennepin, VP19242 in Mpls.</w:t>
      </w:r>
    </w:p>
    <w:p w14:paraId="7BDC0D18" w14:textId="2C927248" w:rsidR="00B0495B" w:rsidRDefault="00B0495B" w:rsidP="00B0495B">
      <w:pPr>
        <w:pStyle w:val="LFTMemoBULLET"/>
      </w:pPr>
      <w:r>
        <w:t>CVS Pharmacy Store #06507, VP28540, in St. Cloud.</w:t>
      </w:r>
    </w:p>
    <w:p w14:paraId="50B62A94" w14:textId="63B3FA94" w:rsidR="00B0495B" w:rsidRDefault="00B0495B" w:rsidP="00B0495B">
      <w:pPr>
        <w:pStyle w:val="LFTMemoBULLET"/>
      </w:pPr>
      <w:r>
        <w:t>Site 7921 involved an excavation and then a MNDOT storm water retention pond build where the leak site was.</w:t>
      </w:r>
    </w:p>
    <w:p w14:paraId="778C59B6" w14:textId="18815F94" w:rsidR="00B0495B" w:rsidRDefault="00B0495B" w:rsidP="00B0495B">
      <w:pPr>
        <w:pStyle w:val="LFTMemoBULLET"/>
      </w:pPr>
      <w:r>
        <w:t>CCLRT through the UofM where a large infiltration gallery was installed on a portion of the U property, and further east where a gallery was not installed. Petroleum Brownfields Program (PBP) file numbers 3794-3796.</w:t>
      </w:r>
    </w:p>
    <w:p w14:paraId="55A87F41" w14:textId="77777777" w:rsidR="001F046A" w:rsidRPr="001F046A" w:rsidRDefault="001F046A" w:rsidP="006F4324">
      <w:pPr>
        <w:pStyle w:val="LFTHeading2"/>
        <w:numPr>
          <w:ilvl w:val="1"/>
          <w:numId w:val="8"/>
        </w:numPr>
      </w:pPr>
      <w:bookmarkStart w:id="24" w:name="_Toc395180914"/>
      <w:bookmarkStart w:id="25" w:name="PSH"/>
      <w:r w:rsidRPr="001F046A">
        <w:t>Potential Stormwater Hotspots</w:t>
      </w:r>
      <w:bookmarkEnd w:id="24"/>
    </w:p>
    <w:bookmarkEnd w:id="25"/>
    <w:p w14:paraId="3C26C10C" w14:textId="77777777" w:rsidR="001F046A" w:rsidRPr="00D91C6D" w:rsidRDefault="00C66CED" w:rsidP="00C66CED">
      <w:pPr>
        <w:pStyle w:val="LFTHeading3"/>
      </w:pPr>
      <w:r>
        <w:t xml:space="preserve">2.8.1 </w:t>
      </w:r>
      <w:r w:rsidR="001F046A" w:rsidRPr="00D91C6D">
        <w:t>What are Potential Stormwater Hotspots?</w:t>
      </w:r>
    </w:p>
    <w:p w14:paraId="35C8BA6F" w14:textId="0317017E" w:rsidR="004A5207" w:rsidRDefault="001F046A" w:rsidP="00C66CED">
      <w:pPr>
        <w:pStyle w:val="LFTBody"/>
      </w:pPr>
      <w:r w:rsidRPr="002D216D">
        <w:t xml:space="preserve">Potential Stormwater Hotspots (PSHs) are </w:t>
      </w:r>
      <w:r w:rsidR="009D29C5">
        <w:t>activities,</w:t>
      </w:r>
      <w:r w:rsidRPr="002D216D">
        <w:t xml:space="preserve"> </w:t>
      </w:r>
      <w:r w:rsidR="001B2B70">
        <w:t xml:space="preserve">or practices within </w:t>
      </w:r>
      <w:r w:rsidRPr="002D216D">
        <w:t xml:space="preserve">commercial, industrial, institutional, municipal, or transportation-related </w:t>
      </w:r>
      <w:r w:rsidR="001B2B70">
        <w:t>land uses</w:t>
      </w:r>
      <w:r w:rsidRPr="002D216D">
        <w:t xml:space="preserve"> that </w:t>
      </w:r>
      <w:r w:rsidR="00462F01" w:rsidRPr="00462F01">
        <w:rPr>
          <w:b/>
        </w:rPr>
        <w:t>have the potential to</w:t>
      </w:r>
      <w:r w:rsidR="00462F01">
        <w:t xml:space="preserve"> </w:t>
      </w:r>
      <w:r w:rsidRPr="002D216D">
        <w:t xml:space="preserve">produce relatively high levels of stormwater pollutants. PSHs </w:t>
      </w:r>
      <w:r w:rsidR="00462F01">
        <w:t xml:space="preserve">primarily </w:t>
      </w:r>
      <w:r w:rsidRPr="002D216D">
        <w:t>include locations where there is a potential risk for spills, leaks</w:t>
      </w:r>
      <w:r w:rsidR="002A5DA6">
        <w:t>,</w:t>
      </w:r>
      <w:r w:rsidRPr="002D216D">
        <w:t xml:space="preserve"> or illicit discharges.</w:t>
      </w:r>
    </w:p>
    <w:p w14:paraId="70A4FC54" w14:textId="22614712" w:rsidR="001F046A" w:rsidRPr="002D216D" w:rsidRDefault="004A5207" w:rsidP="00C66CED">
      <w:pPr>
        <w:pStyle w:val="LFTBody"/>
      </w:pPr>
      <w:r w:rsidRPr="00FC3916">
        <w:rPr>
          <w:b/>
        </w:rPr>
        <w:t>D</w:t>
      </w:r>
      <w:r w:rsidR="001F046A" w:rsidRPr="00FC3916">
        <w:rPr>
          <w:b/>
        </w:rPr>
        <w:t>esignation as a PSH does not imply that a site is a hotspot, but rather that the land use and associated on-site activities have the potential to generate higher pollutant runoff loads compared to other land uses.</w:t>
      </w:r>
      <w:r w:rsidR="001F046A" w:rsidRPr="002D216D">
        <w:t xml:space="preserve"> D</w:t>
      </w:r>
      <w:r w:rsidR="0013580D">
        <w:t>esignation as a PSH serves as a</w:t>
      </w:r>
      <w:r w:rsidR="001F046A" w:rsidRPr="002D216D">
        <w:t xml:space="preserve"> reminder to </w:t>
      </w:r>
      <w:r w:rsidR="001F046A">
        <w:t xml:space="preserve">owners, </w:t>
      </w:r>
      <w:r w:rsidR="001F046A" w:rsidRPr="002D216D">
        <w:t xml:space="preserve">designers and reviewers that more careful consideration of the site is warranted. Ultimately, a site </w:t>
      </w:r>
      <w:r w:rsidR="00462F01">
        <w:t>that is f</w:t>
      </w:r>
      <w:r w:rsidR="00CB4658">
        <w:t>ormally designated as a hotspot</w:t>
      </w:r>
      <w:r w:rsidR="00462F01">
        <w:t xml:space="preserve"> will likely</w:t>
      </w:r>
      <w:r w:rsidR="001F046A" w:rsidRPr="002D216D">
        <w:t xml:space="preserve"> dictate that certain practices and/or design criteria are </w:t>
      </w:r>
      <w:r w:rsidR="006377C4" w:rsidRPr="002D216D">
        <w:t>pro</w:t>
      </w:r>
      <w:r w:rsidR="006377C4">
        <w:t>hibited</w:t>
      </w:r>
      <w:r w:rsidR="001F046A" w:rsidRPr="002D216D">
        <w:t xml:space="preserve"> or discouraged.</w:t>
      </w:r>
    </w:p>
    <w:p w14:paraId="047111B7" w14:textId="1774DD6D" w:rsidR="001F046A" w:rsidRDefault="001F046A" w:rsidP="00C66CED">
      <w:pPr>
        <w:pStyle w:val="LFTBody"/>
        <w:rPr>
          <w:b/>
        </w:rPr>
      </w:pPr>
      <w:r w:rsidRPr="002D216D">
        <w:t xml:space="preserve">Common concentrations </w:t>
      </w:r>
      <w:r w:rsidR="00FC3916">
        <w:t xml:space="preserve">of select pollutants </w:t>
      </w:r>
      <w:r w:rsidRPr="002D216D">
        <w:t xml:space="preserve">in stormwater runoff </w:t>
      </w:r>
      <w:r w:rsidR="001A4378">
        <w:t>at the various PSH categories</w:t>
      </w:r>
      <w:r w:rsidR="00FC3916">
        <w:t xml:space="preserve"> are provided in</w:t>
      </w:r>
      <w:r w:rsidRPr="002D216D">
        <w:t xml:space="preserve"> </w:t>
      </w:r>
      <w:r w:rsidRPr="002D216D">
        <w:rPr>
          <w:b/>
        </w:rPr>
        <w:t xml:space="preserve">Table </w:t>
      </w:r>
      <w:r w:rsidR="004524E2">
        <w:rPr>
          <w:b/>
        </w:rPr>
        <w:t>2.</w:t>
      </w:r>
      <w:r w:rsidR="002A5DA6">
        <w:rPr>
          <w:b/>
        </w:rPr>
        <w:t>6</w:t>
      </w:r>
      <w:r w:rsidRPr="002D216D">
        <w:rPr>
          <w:b/>
        </w:rPr>
        <w:t>.</w:t>
      </w:r>
      <w:r w:rsidR="00FC3916">
        <w:rPr>
          <w:b/>
        </w:rPr>
        <w:t xml:space="preserve"> </w:t>
      </w:r>
    </w:p>
    <w:p w14:paraId="00C13BE0" w14:textId="7741FB91" w:rsidR="00874955" w:rsidRPr="004104E3" w:rsidRDefault="00874955" w:rsidP="00C66CED">
      <w:pPr>
        <w:pStyle w:val="LFTTableTitle"/>
      </w:pPr>
      <w:r>
        <w:lastRenderedPageBreak/>
        <w:t>Table</w:t>
      </w:r>
      <w:r w:rsidRPr="004104E3">
        <w:t xml:space="preserve"> </w:t>
      </w:r>
      <w:r>
        <w:t>2</w:t>
      </w:r>
      <w:r w:rsidR="00C66CED">
        <w:t>.</w:t>
      </w:r>
      <w:r w:rsidR="002A5DA6">
        <w:t xml:space="preserve">6 </w:t>
      </w:r>
      <w:r>
        <w:t xml:space="preserve">Common </w:t>
      </w:r>
      <w:r w:rsidR="00ED2EBC">
        <w:t>C</w:t>
      </w:r>
      <w:r>
        <w:t xml:space="preserve">oncentrations of </w:t>
      </w:r>
      <w:r w:rsidR="00ED2EBC">
        <w:t>P</w:t>
      </w:r>
      <w:r>
        <w:t xml:space="preserve">ollutants of </w:t>
      </w:r>
      <w:r w:rsidR="00ED2EBC">
        <w:t>C</w:t>
      </w:r>
      <w:r>
        <w:t xml:space="preserve">oncern </w:t>
      </w:r>
      <w:r w:rsidR="00ED2EBC">
        <w:t>F</w:t>
      </w:r>
      <w:r>
        <w:t xml:space="preserve">ound in </w:t>
      </w:r>
      <w:r w:rsidR="00ED2EBC">
        <w:t>S</w:t>
      </w:r>
      <w:r>
        <w:t xml:space="preserve">tormwater </w:t>
      </w:r>
      <w:r w:rsidR="00ED2EBC">
        <w:t>R</w:t>
      </w:r>
      <w:r>
        <w:t xml:space="preserve">unoff at </w:t>
      </w:r>
      <w:r w:rsidR="00ED2EBC">
        <w:t>V</w:t>
      </w:r>
      <w:r>
        <w:t xml:space="preserve">arious </w:t>
      </w:r>
      <w:r w:rsidR="00ED2EBC">
        <w:t>L</w:t>
      </w:r>
      <w:r>
        <w:t xml:space="preserve">and </w:t>
      </w:r>
      <w:r w:rsidR="00ED2EBC">
        <w:t>U</w:t>
      </w:r>
      <w:r>
        <w:t xml:space="preserve">se </w:t>
      </w:r>
      <w:r w:rsidR="00ED2EBC">
        <w:t>A</w:t>
      </w:r>
      <w:r>
        <w:t>reas</w:t>
      </w:r>
    </w:p>
    <w:tbl>
      <w:tblPr>
        <w:tblpPr w:leftFromText="180" w:rightFromText="180" w:vertAnchor="text" w:tblpY="1"/>
        <w:tblOverlap w:val="never"/>
        <w:tblW w:w="11534" w:type="dxa"/>
        <w:tblLayout w:type="fixed"/>
        <w:tblCellMar>
          <w:left w:w="0" w:type="dxa"/>
          <w:right w:w="0" w:type="dxa"/>
        </w:tblCellMar>
        <w:tblLook w:val="0000" w:firstRow="0" w:lastRow="0" w:firstColumn="0" w:lastColumn="0" w:noHBand="0" w:noVBand="0"/>
      </w:tblPr>
      <w:tblGrid>
        <w:gridCol w:w="14"/>
        <w:gridCol w:w="2430"/>
        <w:gridCol w:w="810"/>
        <w:gridCol w:w="810"/>
        <w:gridCol w:w="900"/>
        <w:gridCol w:w="900"/>
        <w:gridCol w:w="900"/>
        <w:gridCol w:w="900"/>
        <w:gridCol w:w="990"/>
        <w:gridCol w:w="990"/>
        <w:gridCol w:w="630"/>
        <w:gridCol w:w="630"/>
        <w:gridCol w:w="630"/>
      </w:tblGrid>
      <w:tr w:rsidR="00874955" w:rsidRPr="00874955" w14:paraId="55712FA7" w14:textId="77777777" w:rsidTr="00C66CED">
        <w:tc>
          <w:tcPr>
            <w:tcW w:w="2444" w:type="dxa"/>
            <w:gridSpan w:val="2"/>
            <w:tcBorders>
              <w:top w:val="single" w:sz="4" w:space="0" w:color="auto"/>
              <w:left w:val="single" w:sz="4" w:space="0" w:color="auto"/>
              <w:right w:val="single" w:sz="4" w:space="0" w:color="FFFBF0" w:themeColor="background1"/>
            </w:tcBorders>
            <w:shd w:val="clear" w:color="auto" w:fill="00539B" w:themeFill="text2"/>
            <w:tcMar>
              <w:top w:w="14" w:type="dxa"/>
              <w:left w:w="14" w:type="dxa"/>
              <w:bottom w:w="0" w:type="dxa"/>
              <w:right w:w="14" w:type="dxa"/>
            </w:tcMar>
            <w:vAlign w:val="center"/>
          </w:tcPr>
          <w:p w14:paraId="1824B598" w14:textId="77777777" w:rsidR="0080275B" w:rsidRDefault="0080275B" w:rsidP="00C66CED">
            <w:pPr>
              <w:pStyle w:val="LFTTableheader2"/>
              <w:jc w:val="center"/>
              <w:rPr>
                <w:color w:val="FFFBF0" w:themeColor="background1"/>
              </w:rPr>
            </w:pPr>
          </w:p>
          <w:p w14:paraId="1022C22A" w14:textId="77777777" w:rsidR="00874955" w:rsidRPr="00C66CED" w:rsidRDefault="00874955" w:rsidP="00C66CED">
            <w:pPr>
              <w:pStyle w:val="LFTTableheader2"/>
              <w:jc w:val="center"/>
              <w:rPr>
                <w:color w:val="FFFBF0" w:themeColor="background1"/>
              </w:rPr>
            </w:pPr>
            <w:r w:rsidRPr="00C66CED">
              <w:rPr>
                <w:color w:val="FFFBF0" w:themeColor="background1"/>
              </w:rPr>
              <w:t>Land Use</w:t>
            </w:r>
          </w:p>
        </w:tc>
        <w:tc>
          <w:tcPr>
            <w:tcW w:w="810" w:type="dxa"/>
            <w:tcBorders>
              <w:top w:val="single" w:sz="4" w:space="0" w:color="auto"/>
              <w:left w:val="single" w:sz="4" w:space="0" w:color="FFFBF0" w:themeColor="background1"/>
              <w:right w:val="single" w:sz="4" w:space="0" w:color="FFFBF0" w:themeColor="background1"/>
            </w:tcBorders>
            <w:shd w:val="clear" w:color="auto" w:fill="00539B" w:themeFill="text2"/>
            <w:tcMar>
              <w:top w:w="14" w:type="dxa"/>
              <w:left w:w="14" w:type="dxa"/>
              <w:bottom w:w="0" w:type="dxa"/>
              <w:right w:w="14" w:type="dxa"/>
            </w:tcMar>
            <w:vAlign w:val="center"/>
          </w:tcPr>
          <w:p w14:paraId="207F8B2B" w14:textId="77777777" w:rsidR="00874955" w:rsidRPr="00C66CED" w:rsidRDefault="00874955" w:rsidP="00C66CED">
            <w:pPr>
              <w:pStyle w:val="LFTTableheader2"/>
              <w:jc w:val="center"/>
              <w:rPr>
                <w:color w:val="FFFBF0" w:themeColor="background1"/>
              </w:rPr>
            </w:pPr>
            <w:r w:rsidRPr="00C66CED">
              <w:rPr>
                <w:color w:val="FFFBF0" w:themeColor="background1"/>
              </w:rPr>
              <w:t>N0</w:t>
            </w:r>
            <w:r w:rsidRPr="00C66CED">
              <w:rPr>
                <w:color w:val="FFFBF0" w:themeColor="background1"/>
                <w:vertAlign w:val="subscript"/>
              </w:rPr>
              <w:t>2</w:t>
            </w:r>
            <w:r w:rsidRPr="00C66CED">
              <w:rPr>
                <w:color w:val="FFFBF0" w:themeColor="background1"/>
              </w:rPr>
              <w:t>+NO</w:t>
            </w:r>
            <w:r w:rsidRPr="00C66CED">
              <w:rPr>
                <w:color w:val="FFFBF0" w:themeColor="background1"/>
              </w:rPr>
              <w:softHyphen/>
              <w:t xml:space="preserve"> (mg/L)</w:t>
            </w:r>
          </w:p>
        </w:tc>
        <w:tc>
          <w:tcPr>
            <w:tcW w:w="810" w:type="dxa"/>
            <w:tcBorders>
              <w:top w:val="single" w:sz="4" w:space="0" w:color="auto"/>
              <w:left w:val="single" w:sz="4" w:space="0" w:color="FFFBF0" w:themeColor="background1"/>
              <w:right w:val="single" w:sz="4" w:space="0" w:color="FFFBF0" w:themeColor="background1"/>
            </w:tcBorders>
            <w:shd w:val="clear" w:color="auto" w:fill="00539B" w:themeFill="text2"/>
            <w:tcMar>
              <w:top w:w="14" w:type="dxa"/>
              <w:left w:w="14" w:type="dxa"/>
              <w:bottom w:w="0" w:type="dxa"/>
              <w:right w:w="14" w:type="dxa"/>
            </w:tcMar>
            <w:vAlign w:val="center"/>
          </w:tcPr>
          <w:p w14:paraId="580AC1A8" w14:textId="77777777" w:rsidR="00874955" w:rsidRPr="00C66CED" w:rsidRDefault="00874955" w:rsidP="00C66CED">
            <w:pPr>
              <w:pStyle w:val="LFTTableheader2"/>
              <w:jc w:val="center"/>
              <w:rPr>
                <w:color w:val="FFFBF0" w:themeColor="background1"/>
              </w:rPr>
            </w:pPr>
            <w:r w:rsidRPr="00C66CED">
              <w:rPr>
                <w:color w:val="FFFBF0" w:themeColor="background1"/>
              </w:rPr>
              <w:t>TN (mg/L)</w:t>
            </w:r>
          </w:p>
        </w:tc>
        <w:tc>
          <w:tcPr>
            <w:tcW w:w="900" w:type="dxa"/>
            <w:tcBorders>
              <w:top w:val="single" w:sz="4" w:space="0" w:color="auto"/>
              <w:left w:val="single" w:sz="4" w:space="0" w:color="FFFBF0" w:themeColor="background1"/>
              <w:right w:val="single" w:sz="4" w:space="0" w:color="FFFBF0" w:themeColor="background1"/>
            </w:tcBorders>
            <w:shd w:val="clear" w:color="auto" w:fill="00539B" w:themeFill="text2"/>
            <w:tcMar>
              <w:top w:w="14" w:type="dxa"/>
              <w:left w:w="14" w:type="dxa"/>
              <w:bottom w:w="0" w:type="dxa"/>
              <w:right w:w="14" w:type="dxa"/>
            </w:tcMar>
            <w:vAlign w:val="center"/>
          </w:tcPr>
          <w:p w14:paraId="2FB421BC" w14:textId="77777777" w:rsidR="00874955" w:rsidRPr="00C66CED" w:rsidRDefault="00874955" w:rsidP="00C66CED">
            <w:pPr>
              <w:pStyle w:val="LFTTableheader2"/>
              <w:jc w:val="center"/>
              <w:rPr>
                <w:color w:val="FFFBF0" w:themeColor="background1"/>
              </w:rPr>
            </w:pPr>
            <w:r w:rsidRPr="00C66CED">
              <w:rPr>
                <w:color w:val="FFFBF0" w:themeColor="background1"/>
              </w:rPr>
              <w:t>TP (mg/L)</w:t>
            </w:r>
          </w:p>
        </w:tc>
        <w:tc>
          <w:tcPr>
            <w:tcW w:w="900" w:type="dxa"/>
            <w:tcBorders>
              <w:top w:val="single" w:sz="4" w:space="0" w:color="auto"/>
              <w:left w:val="single" w:sz="4" w:space="0" w:color="FFFBF0" w:themeColor="background1"/>
              <w:right w:val="single" w:sz="4" w:space="0" w:color="FFFBF0" w:themeColor="background1"/>
            </w:tcBorders>
            <w:shd w:val="clear" w:color="auto" w:fill="00539B" w:themeFill="text2"/>
            <w:tcMar>
              <w:top w:w="14" w:type="dxa"/>
              <w:left w:w="14" w:type="dxa"/>
              <w:bottom w:w="0" w:type="dxa"/>
              <w:right w:w="14" w:type="dxa"/>
            </w:tcMar>
            <w:vAlign w:val="center"/>
          </w:tcPr>
          <w:p w14:paraId="2C7F0769" w14:textId="77777777" w:rsidR="00874955" w:rsidRPr="00C66CED" w:rsidRDefault="00874955" w:rsidP="00C66CED">
            <w:pPr>
              <w:pStyle w:val="LFTTableheader2"/>
              <w:jc w:val="center"/>
              <w:rPr>
                <w:color w:val="FFFBF0" w:themeColor="background1"/>
              </w:rPr>
            </w:pPr>
            <w:r w:rsidRPr="00C66CED">
              <w:rPr>
                <w:color w:val="FFFBF0" w:themeColor="background1"/>
              </w:rPr>
              <w:t>Chloride</w:t>
            </w:r>
            <w:r w:rsidRPr="00C66CED">
              <w:rPr>
                <w:color w:val="FFFBF0" w:themeColor="background1"/>
                <w:vertAlign w:val="superscript"/>
              </w:rPr>
              <w:t>2</w:t>
            </w:r>
            <w:r w:rsidRPr="00C66CED">
              <w:rPr>
                <w:color w:val="FFFBF0" w:themeColor="background1"/>
              </w:rPr>
              <w:t xml:space="preserve"> (mg/L)</w:t>
            </w:r>
          </w:p>
        </w:tc>
        <w:tc>
          <w:tcPr>
            <w:tcW w:w="900" w:type="dxa"/>
            <w:tcBorders>
              <w:top w:val="single" w:sz="4" w:space="0" w:color="auto"/>
              <w:left w:val="single" w:sz="4" w:space="0" w:color="FFFBF0" w:themeColor="background1"/>
              <w:right w:val="single" w:sz="4" w:space="0" w:color="FFFBF0" w:themeColor="background1"/>
            </w:tcBorders>
            <w:shd w:val="clear" w:color="auto" w:fill="00539B" w:themeFill="text2"/>
            <w:tcMar>
              <w:top w:w="14" w:type="dxa"/>
              <w:left w:w="14" w:type="dxa"/>
              <w:bottom w:w="0" w:type="dxa"/>
              <w:right w:w="14" w:type="dxa"/>
            </w:tcMar>
            <w:vAlign w:val="center"/>
          </w:tcPr>
          <w:p w14:paraId="204C0004" w14:textId="77777777" w:rsidR="00874955" w:rsidRPr="00C66CED" w:rsidRDefault="00874955" w:rsidP="00C66CED">
            <w:pPr>
              <w:pStyle w:val="LFTTableheader2"/>
              <w:jc w:val="center"/>
              <w:rPr>
                <w:color w:val="FFFBF0" w:themeColor="background1"/>
              </w:rPr>
            </w:pPr>
            <w:r w:rsidRPr="00C66CED">
              <w:rPr>
                <w:color w:val="FFFBF0" w:themeColor="background1"/>
              </w:rPr>
              <w:t>Cu (ug/L)</w:t>
            </w:r>
          </w:p>
        </w:tc>
        <w:tc>
          <w:tcPr>
            <w:tcW w:w="900" w:type="dxa"/>
            <w:tcBorders>
              <w:top w:val="single" w:sz="4" w:space="0" w:color="auto"/>
              <w:left w:val="single" w:sz="4" w:space="0" w:color="FFFBF0" w:themeColor="background1"/>
              <w:right w:val="single" w:sz="4" w:space="0" w:color="FFFBF0" w:themeColor="background1"/>
            </w:tcBorders>
            <w:shd w:val="clear" w:color="auto" w:fill="00539B" w:themeFill="text2"/>
            <w:tcMar>
              <w:top w:w="14" w:type="dxa"/>
              <w:left w:w="14" w:type="dxa"/>
              <w:bottom w:w="0" w:type="dxa"/>
              <w:right w:w="14" w:type="dxa"/>
            </w:tcMar>
            <w:vAlign w:val="center"/>
          </w:tcPr>
          <w:p w14:paraId="1EA96E20" w14:textId="77777777" w:rsidR="00874955" w:rsidRPr="00C66CED" w:rsidRDefault="00874955" w:rsidP="00C66CED">
            <w:pPr>
              <w:pStyle w:val="LFTTableheader2"/>
              <w:jc w:val="center"/>
              <w:rPr>
                <w:color w:val="FFFBF0" w:themeColor="background1"/>
              </w:rPr>
            </w:pPr>
            <w:r w:rsidRPr="00C66CED">
              <w:rPr>
                <w:color w:val="FFFBF0" w:themeColor="background1"/>
              </w:rPr>
              <w:t>Zn (ug/L)</w:t>
            </w:r>
          </w:p>
        </w:tc>
        <w:tc>
          <w:tcPr>
            <w:tcW w:w="990" w:type="dxa"/>
            <w:tcBorders>
              <w:top w:val="single" w:sz="4" w:space="0" w:color="auto"/>
              <w:left w:val="single" w:sz="4" w:space="0" w:color="FFFBF0" w:themeColor="background1"/>
              <w:right w:val="single" w:sz="4" w:space="0" w:color="FFFBF0" w:themeColor="background1"/>
            </w:tcBorders>
            <w:shd w:val="clear" w:color="auto" w:fill="00539B" w:themeFill="text2"/>
            <w:vAlign w:val="center"/>
          </w:tcPr>
          <w:p w14:paraId="64F27ED7" w14:textId="77777777" w:rsidR="00874955" w:rsidRPr="00C66CED" w:rsidRDefault="00874955" w:rsidP="00C66CED">
            <w:pPr>
              <w:pStyle w:val="LFTTableheader2"/>
              <w:jc w:val="center"/>
              <w:rPr>
                <w:color w:val="FFFBF0" w:themeColor="background1"/>
              </w:rPr>
            </w:pPr>
            <w:r w:rsidRPr="00C66CED">
              <w:rPr>
                <w:color w:val="FFFBF0" w:themeColor="background1"/>
              </w:rPr>
              <w:t>TPH</w:t>
            </w:r>
          </w:p>
        </w:tc>
        <w:tc>
          <w:tcPr>
            <w:tcW w:w="990" w:type="dxa"/>
            <w:tcBorders>
              <w:top w:val="single" w:sz="4" w:space="0" w:color="auto"/>
              <w:left w:val="single" w:sz="4" w:space="0" w:color="FFFBF0" w:themeColor="background1"/>
              <w:right w:val="single" w:sz="4" w:space="0" w:color="auto"/>
            </w:tcBorders>
            <w:shd w:val="clear" w:color="auto" w:fill="00539B" w:themeFill="text2"/>
            <w:vAlign w:val="center"/>
          </w:tcPr>
          <w:p w14:paraId="45F8E74E" w14:textId="77777777" w:rsidR="00874955" w:rsidRPr="00C66CED" w:rsidRDefault="00874955" w:rsidP="00C66CED">
            <w:pPr>
              <w:pStyle w:val="LFTTableheader2"/>
              <w:jc w:val="center"/>
              <w:rPr>
                <w:color w:val="FFFBF0" w:themeColor="background1"/>
              </w:rPr>
            </w:pPr>
            <w:r w:rsidRPr="00C66CED">
              <w:rPr>
                <w:color w:val="FFFBF0" w:themeColor="background1"/>
              </w:rPr>
              <w:t>Fecal</w:t>
            </w:r>
            <w:r w:rsidRPr="00C66CED">
              <w:rPr>
                <w:color w:val="FFFBF0" w:themeColor="background1"/>
                <w:vertAlign w:val="superscript"/>
              </w:rPr>
              <w:t>2</w:t>
            </w:r>
            <w:r w:rsidRPr="00C66CED">
              <w:rPr>
                <w:color w:val="FFFBF0" w:themeColor="background1"/>
              </w:rPr>
              <w:t xml:space="preserve"> Coliform</w:t>
            </w:r>
          </w:p>
        </w:tc>
        <w:tc>
          <w:tcPr>
            <w:tcW w:w="630" w:type="dxa"/>
            <w:vAlign w:val="center"/>
          </w:tcPr>
          <w:p w14:paraId="78CE7612" w14:textId="77777777" w:rsidR="00874955" w:rsidRPr="00874955" w:rsidRDefault="00874955" w:rsidP="00874955">
            <w:pPr>
              <w:spacing w:line="20" w:lineRule="atLeast"/>
              <w:rPr>
                <w:rFonts w:asciiTheme="majorHAnsi" w:hAnsiTheme="majorHAnsi" w:cs="Arial"/>
                <w:color w:val="000000"/>
                <w:sz w:val="18"/>
                <w:szCs w:val="18"/>
              </w:rPr>
            </w:pPr>
            <w:r w:rsidRPr="00874955">
              <w:rPr>
                <w:rFonts w:asciiTheme="majorHAnsi" w:hAnsiTheme="majorHAnsi"/>
                <w:b/>
                <w:bCs/>
                <w:color w:val="FFFBF0" w:themeColor="background1"/>
                <w:sz w:val="18"/>
                <w:szCs w:val="18"/>
              </w:rPr>
              <w:t>E. Coli</w:t>
            </w:r>
          </w:p>
        </w:tc>
        <w:tc>
          <w:tcPr>
            <w:tcW w:w="630" w:type="dxa"/>
            <w:vAlign w:val="center"/>
          </w:tcPr>
          <w:p w14:paraId="23948F78" w14:textId="77777777" w:rsidR="00874955" w:rsidRPr="00874955" w:rsidRDefault="00874955" w:rsidP="00874955">
            <w:pPr>
              <w:spacing w:line="20" w:lineRule="atLeast"/>
              <w:rPr>
                <w:rFonts w:asciiTheme="majorHAnsi" w:hAnsiTheme="majorHAnsi" w:cs="Arial"/>
                <w:color w:val="000000"/>
                <w:sz w:val="18"/>
                <w:szCs w:val="18"/>
              </w:rPr>
            </w:pPr>
            <w:r w:rsidRPr="00874955">
              <w:rPr>
                <w:rFonts w:asciiTheme="majorHAnsi" w:hAnsiTheme="majorHAnsi"/>
                <w:b/>
                <w:bCs/>
                <w:color w:val="FFFBF0" w:themeColor="background1"/>
                <w:sz w:val="18"/>
                <w:szCs w:val="18"/>
              </w:rPr>
              <w:t>F. S.</w:t>
            </w:r>
          </w:p>
        </w:tc>
        <w:tc>
          <w:tcPr>
            <w:tcW w:w="630" w:type="dxa"/>
            <w:vAlign w:val="center"/>
          </w:tcPr>
          <w:p w14:paraId="1550BD0C" w14:textId="77777777" w:rsidR="00874955" w:rsidRPr="00874955" w:rsidRDefault="00874955" w:rsidP="00874955">
            <w:pPr>
              <w:spacing w:line="20" w:lineRule="atLeast"/>
              <w:rPr>
                <w:rFonts w:asciiTheme="majorHAnsi" w:hAnsiTheme="majorHAnsi" w:cs="Arial"/>
                <w:color w:val="000000"/>
                <w:sz w:val="18"/>
                <w:szCs w:val="18"/>
              </w:rPr>
            </w:pPr>
          </w:p>
        </w:tc>
      </w:tr>
      <w:tr w:rsidR="00FC3916" w:rsidRPr="00874955" w14:paraId="68673A0F" w14:textId="77777777" w:rsidTr="00E6447B">
        <w:trPr>
          <w:gridAfter w:val="3"/>
          <w:wAfter w:w="1890" w:type="dxa"/>
          <w:trHeight w:val="20"/>
        </w:trPr>
        <w:tc>
          <w:tcPr>
            <w:tcW w:w="9644" w:type="dxa"/>
            <w:gridSpan w:val="10"/>
            <w:tcBorders>
              <w:left w:val="single" w:sz="4" w:space="0" w:color="auto"/>
              <w:bottom w:val="single" w:sz="4" w:space="0" w:color="auto"/>
              <w:right w:val="single" w:sz="4" w:space="0" w:color="auto"/>
            </w:tcBorders>
            <w:shd w:val="clear" w:color="auto" w:fill="9CCEF0" w:themeFill="accent4" w:themeFillShade="E6"/>
            <w:tcMar>
              <w:top w:w="14" w:type="dxa"/>
              <w:left w:w="14" w:type="dxa"/>
              <w:bottom w:w="0" w:type="dxa"/>
              <w:right w:w="14" w:type="dxa"/>
            </w:tcMar>
            <w:vAlign w:val="center"/>
          </w:tcPr>
          <w:p w14:paraId="5D74E44D" w14:textId="693DE816" w:rsidR="00FC3916" w:rsidRPr="00874955" w:rsidRDefault="00FC3916" w:rsidP="00FC3916">
            <w:pPr>
              <w:pStyle w:val="LFTTabletext"/>
              <w:spacing w:line="20" w:lineRule="atLeast"/>
              <w:rPr>
                <w:szCs w:val="18"/>
              </w:rPr>
            </w:pPr>
            <w:r>
              <w:rPr>
                <w:bCs w:val="0"/>
                <w:szCs w:val="18"/>
              </w:rPr>
              <w:t xml:space="preserve">      </w:t>
            </w:r>
            <w:r w:rsidRPr="00874955">
              <w:rPr>
                <w:bCs w:val="0"/>
                <w:szCs w:val="18"/>
              </w:rPr>
              <w:t>Commercial</w:t>
            </w:r>
            <w:r w:rsidRPr="00874955">
              <w:rPr>
                <w:bCs w:val="0"/>
                <w:szCs w:val="18"/>
                <w:vertAlign w:val="superscript"/>
              </w:rPr>
              <w:t>1</w:t>
            </w:r>
            <w:r w:rsidRPr="00874955">
              <w:rPr>
                <w:bCs w:val="0"/>
                <w:szCs w:val="18"/>
              </w:rPr>
              <w:t xml:space="preserve"> </w:t>
            </w:r>
          </w:p>
        </w:tc>
      </w:tr>
      <w:tr w:rsidR="00874955" w:rsidRPr="00874955" w14:paraId="14780D56" w14:textId="77777777" w:rsidTr="00874955">
        <w:trPr>
          <w:gridAfter w:val="3"/>
          <w:wAfter w:w="1890" w:type="dxa"/>
          <w:trHeight w:val="103"/>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B2B345A" w14:textId="77777777" w:rsidR="00874955" w:rsidRPr="00874955" w:rsidRDefault="00874955" w:rsidP="00874955">
            <w:pPr>
              <w:pStyle w:val="LFTTabletext"/>
              <w:spacing w:line="20" w:lineRule="atLeast"/>
              <w:jc w:val="center"/>
              <w:rPr>
                <w:szCs w:val="18"/>
              </w:rPr>
            </w:pPr>
            <w:r w:rsidRPr="00874955">
              <w:rPr>
                <w:szCs w:val="18"/>
              </w:rPr>
              <w:t>Number of sites</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38457E9" w14:textId="77777777" w:rsidR="00874955" w:rsidRPr="00874955" w:rsidRDefault="00874955" w:rsidP="00874955">
            <w:pPr>
              <w:pStyle w:val="LFTTabletext"/>
              <w:spacing w:line="20" w:lineRule="atLeast"/>
              <w:jc w:val="center"/>
              <w:rPr>
                <w:szCs w:val="18"/>
              </w:rPr>
            </w:pPr>
            <w:r w:rsidRPr="00874955">
              <w:rPr>
                <w:szCs w:val="18"/>
              </w:rPr>
              <w:t>50</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72D38BF" w14:textId="77777777" w:rsidR="00874955" w:rsidRPr="00874955" w:rsidRDefault="00874955" w:rsidP="00874955">
            <w:pPr>
              <w:pStyle w:val="LFTTabletext"/>
              <w:spacing w:line="20" w:lineRule="atLeast"/>
              <w:jc w:val="center"/>
              <w:rPr>
                <w:szCs w:val="18"/>
              </w:rPr>
            </w:pPr>
            <w:r w:rsidRPr="00874955">
              <w:rPr>
                <w:szCs w:val="18"/>
              </w:rPr>
              <w:t>13</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CE6CC95" w14:textId="77777777" w:rsidR="00874955" w:rsidRPr="00874955" w:rsidRDefault="00874955" w:rsidP="00874955">
            <w:pPr>
              <w:pStyle w:val="LFTTabletext"/>
              <w:spacing w:line="20" w:lineRule="atLeast"/>
              <w:jc w:val="center"/>
              <w:rPr>
                <w:szCs w:val="18"/>
              </w:rPr>
            </w:pPr>
            <w:r w:rsidRPr="00874955">
              <w:rPr>
                <w:szCs w:val="18"/>
              </w:rPr>
              <w:t>56</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D4337C4"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6BF0031" w14:textId="77777777" w:rsidR="00874955" w:rsidRPr="00874955" w:rsidRDefault="00874955" w:rsidP="00874955">
            <w:pPr>
              <w:pStyle w:val="LFTTabletext"/>
              <w:spacing w:line="20" w:lineRule="atLeast"/>
              <w:jc w:val="center"/>
              <w:rPr>
                <w:szCs w:val="18"/>
              </w:rPr>
            </w:pPr>
            <w:r w:rsidRPr="00874955">
              <w:rPr>
                <w:szCs w:val="18"/>
              </w:rPr>
              <w:t>60</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8773529" w14:textId="77777777" w:rsidR="00874955" w:rsidRPr="00874955" w:rsidRDefault="00874955" w:rsidP="00874955">
            <w:pPr>
              <w:pStyle w:val="LFTTabletext"/>
              <w:spacing w:line="20" w:lineRule="atLeast"/>
              <w:jc w:val="center"/>
              <w:rPr>
                <w:szCs w:val="18"/>
              </w:rPr>
            </w:pPr>
            <w:r w:rsidRPr="00874955">
              <w:rPr>
                <w:szCs w:val="18"/>
              </w:rPr>
              <w:t>62</w:t>
            </w:r>
          </w:p>
        </w:tc>
        <w:tc>
          <w:tcPr>
            <w:tcW w:w="990" w:type="dxa"/>
            <w:tcBorders>
              <w:top w:val="single" w:sz="4" w:space="0" w:color="auto"/>
              <w:left w:val="single" w:sz="4" w:space="0" w:color="auto"/>
              <w:bottom w:val="single" w:sz="4" w:space="0" w:color="auto"/>
              <w:right w:val="single" w:sz="4" w:space="0" w:color="auto"/>
            </w:tcBorders>
            <w:vAlign w:val="center"/>
          </w:tcPr>
          <w:p w14:paraId="203F4C2D" w14:textId="77777777" w:rsidR="00874955" w:rsidRPr="00874955" w:rsidRDefault="00874955" w:rsidP="00874955">
            <w:pPr>
              <w:pStyle w:val="LFTTabletext"/>
              <w:spacing w:line="20" w:lineRule="atLeast"/>
              <w:jc w:val="center"/>
              <w:rPr>
                <w:szCs w:val="18"/>
              </w:rPr>
            </w:pPr>
            <w:r w:rsidRPr="00874955">
              <w:rPr>
                <w:szCs w:val="18"/>
              </w:rPr>
              <w:t>2</w:t>
            </w:r>
          </w:p>
        </w:tc>
        <w:tc>
          <w:tcPr>
            <w:tcW w:w="990" w:type="dxa"/>
            <w:tcBorders>
              <w:top w:val="single" w:sz="4" w:space="0" w:color="auto"/>
              <w:left w:val="single" w:sz="4" w:space="0" w:color="auto"/>
              <w:bottom w:val="single" w:sz="4" w:space="0" w:color="auto"/>
              <w:right w:val="single" w:sz="4" w:space="0" w:color="auto"/>
            </w:tcBorders>
            <w:vAlign w:val="center"/>
          </w:tcPr>
          <w:p w14:paraId="375A0B80" w14:textId="77777777" w:rsidR="00874955" w:rsidRPr="00874955" w:rsidRDefault="00874955" w:rsidP="00874955">
            <w:pPr>
              <w:pStyle w:val="LFTTabletext"/>
              <w:spacing w:line="20" w:lineRule="atLeast"/>
              <w:jc w:val="center"/>
              <w:rPr>
                <w:szCs w:val="18"/>
              </w:rPr>
            </w:pPr>
            <w:r w:rsidRPr="00874955">
              <w:rPr>
                <w:szCs w:val="18"/>
              </w:rPr>
              <w:t>4</w:t>
            </w:r>
          </w:p>
        </w:tc>
      </w:tr>
      <w:tr w:rsidR="00874955" w:rsidRPr="00874955" w14:paraId="0ACB61C1" w14:textId="77777777" w:rsidTr="00874955">
        <w:trPr>
          <w:gridAfter w:val="3"/>
          <w:wAfter w:w="1890" w:type="dxa"/>
          <w:trHeight w:val="103"/>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CA45BEE" w14:textId="77777777" w:rsidR="00874955" w:rsidRPr="00874955" w:rsidRDefault="00874955" w:rsidP="00874955">
            <w:pPr>
              <w:pStyle w:val="LFTTabletext"/>
              <w:spacing w:line="20" w:lineRule="atLeast"/>
              <w:jc w:val="center"/>
              <w:rPr>
                <w:szCs w:val="18"/>
              </w:rPr>
            </w:pPr>
            <w:r w:rsidRPr="00874955">
              <w:rPr>
                <w:szCs w:val="18"/>
              </w:rPr>
              <w:t>Number of observations</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867A270" w14:textId="77777777" w:rsidR="00874955" w:rsidRPr="00874955" w:rsidRDefault="00874955" w:rsidP="00874955">
            <w:pPr>
              <w:pStyle w:val="LFTTabletext"/>
              <w:spacing w:line="20" w:lineRule="atLeast"/>
              <w:jc w:val="center"/>
              <w:rPr>
                <w:szCs w:val="18"/>
              </w:rPr>
            </w:pPr>
            <w:r w:rsidRPr="00874955">
              <w:rPr>
                <w:szCs w:val="18"/>
              </w:rPr>
              <w:t>786</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ACF6886" w14:textId="77777777" w:rsidR="00874955" w:rsidRPr="00874955" w:rsidRDefault="00874955" w:rsidP="00874955">
            <w:pPr>
              <w:pStyle w:val="LFTTabletext"/>
              <w:spacing w:line="20" w:lineRule="atLeast"/>
              <w:jc w:val="center"/>
              <w:rPr>
                <w:szCs w:val="18"/>
              </w:rPr>
            </w:pPr>
            <w:r w:rsidRPr="00874955">
              <w:rPr>
                <w:szCs w:val="18"/>
              </w:rPr>
              <w:t>77</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1E99B3E" w14:textId="77777777" w:rsidR="00874955" w:rsidRPr="00874955" w:rsidRDefault="00874955" w:rsidP="00874955">
            <w:pPr>
              <w:pStyle w:val="LFTTabletext"/>
              <w:spacing w:line="20" w:lineRule="atLeast"/>
              <w:jc w:val="center"/>
              <w:rPr>
                <w:szCs w:val="18"/>
              </w:rPr>
            </w:pPr>
            <w:r w:rsidRPr="00874955">
              <w:rPr>
                <w:szCs w:val="18"/>
              </w:rPr>
              <w:t>948</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9F58D11"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C317C3F" w14:textId="77777777" w:rsidR="00874955" w:rsidRPr="00874955" w:rsidRDefault="00874955" w:rsidP="00874955">
            <w:pPr>
              <w:pStyle w:val="LFTTabletext"/>
              <w:spacing w:line="20" w:lineRule="atLeast"/>
              <w:jc w:val="center"/>
              <w:rPr>
                <w:szCs w:val="18"/>
              </w:rPr>
            </w:pPr>
            <w:r w:rsidRPr="00874955">
              <w:rPr>
                <w:szCs w:val="18"/>
              </w:rPr>
              <w:t>785</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1786A22" w14:textId="77777777" w:rsidR="00874955" w:rsidRPr="00874955" w:rsidRDefault="00874955" w:rsidP="00874955">
            <w:pPr>
              <w:pStyle w:val="LFTTabletext"/>
              <w:spacing w:line="20" w:lineRule="atLeast"/>
              <w:jc w:val="center"/>
              <w:rPr>
                <w:szCs w:val="18"/>
              </w:rPr>
            </w:pPr>
            <w:r w:rsidRPr="00874955">
              <w:rPr>
                <w:szCs w:val="18"/>
              </w:rPr>
              <w:t>867</w:t>
            </w:r>
          </w:p>
        </w:tc>
        <w:tc>
          <w:tcPr>
            <w:tcW w:w="990" w:type="dxa"/>
            <w:tcBorders>
              <w:top w:val="single" w:sz="4" w:space="0" w:color="auto"/>
              <w:left w:val="single" w:sz="4" w:space="0" w:color="auto"/>
              <w:bottom w:val="single" w:sz="4" w:space="0" w:color="auto"/>
              <w:right w:val="single" w:sz="4" w:space="0" w:color="auto"/>
            </w:tcBorders>
            <w:vAlign w:val="center"/>
          </w:tcPr>
          <w:p w14:paraId="238C6DC0" w14:textId="77777777" w:rsidR="00874955" w:rsidRPr="00874955" w:rsidRDefault="00874955" w:rsidP="00874955">
            <w:pPr>
              <w:pStyle w:val="LFTTabletext"/>
              <w:spacing w:line="20" w:lineRule="atLeast"/>
              <w:jc w:val="center"/>
              <w:rPr>
                <w:szCs w:val="18"/>
              </w:rPr>
            </w:pPr>
            <w:r w:rsidRPr="00874955">
              <w:rPr>
                <w:szCs w:val="18"/>
              </w:rPr>
              <w:t>21</w:t>
            </w:r>
          </w:p>
        </w:tc>
        <w:tc>
          <w:tcPr>
            <w:tcW w:w="990" w:type="dxa"/>
            <w:tcBorders>
              <w:top w:val="single" w:sz="4" w:space="0" w:color="auto"/>
              <w:left w:val="single" w:sz="4" w:space="0" w:color="auto"/>
              <w:bottom w:val="single" w:sz="4" w:space="0" w:color="auto"/>
              <w:right w:val="single" w:sz="4" w:space="0" w:color="auto"/>
            </w:tcBorders>
            <w:vAlign w:val="center"/>
          </w:tcPr>
          <w:p w14:paraId="5D5B1898" w14:textId="77777777" w:rsidR="00874955" w:rsidRPr="00874955" w:rsidRDefault="00874955" w:rsidP="00874955">
            <w:pPr>
              <w:pStyle w:val="LFTTabletext"/>
              <w:spacing w:line="20" w:lineRule="atLeast"/>
              <w:jc w:val="center"/>
              <w:rPr>
                <w:szCs w:val="18"/>
              </w:rPr>
            </w:pPr>
            <w:r w:rsidRPr="00874955">
              <w:rPr>
                <w:szCs w:val="18"/>
              </w:rPr>
              <w:t>19</w:t>
            </w:r>
          </w:p>
        </w:tc>
      </w:tr>
      <w:tr w:rsidR="00874955" w:rsidRPr="00874955" w14:paraId="2CC34393" w14:textId="77777777" w:rsidTr="00874955">
        <w:trPr>
          <w:gridAfter w:val="3"/>
          <w:wAfter w:w="189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771D71F" w14:textId="77777777" w:rsidR="00874955" w:rsidRPr="00874955" w:rsidRDefault="00874955" w:rsidP="00874955">
            <w:pPr>
              <w:pStyle w:val="LFTTabletext"/>
              <w:spacing w:line="20" w:lineRule="atLeast"/>
              <w:jc w:val="center"/>
              <w:rPr>
                <w:szCs w:val="18"/>
              </w:rPr>
            </w:pPr>
            <w:r w:rsidRPr="00874955">
              <w:rPr>
                <w:szCs w:val="18"/>
              </w:rPr>
              <w:t>% of samples above the detection limit</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55687F8" w14:textId="77777777" w:rsidR="00874955" w:rsidRPr="00874955" w:rsidRDefault="00874955" w:rsidP="00874955">
            <w:pPr>
              <w:pStyle w:val="LFTTabletext"/>
              <w:spacing w:line="20" w:lineRule="atLeast"/>
              <w:jc w:val="center"/>
              <w:rPr>
                <w:szCs w:val="18"/>
              </w:rPr>
            </w:pPr>
            <w:r w:rsidRPr="00874955">
              <w:rPr>
                <w:szCs w:val="18"/>
              </w:rPr>
              <w:t>98.9%</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3AB086B" w14:textId="77777777" w:rsidR="00874955" w:rsidRPr="00874955" w:rsidRDefault="00874955" w:rsidP="00874955">
            <w:pPr>
              <w:pStyle w:val="LFTTabletext"/>
              <w:spacing w:line="20" w:lineRule="atLeast"/>
              <w:jc w:val="center"/>
              <w:rPr>
                <w:szCs w:val="18"/>
              </w:rPr>
            </w:pPr>
            <w:r w:rsidRPr="00874955">
              <w:rPr>
                <w:szCs w:val="18"/>
              </w:rPr>
              <w:t>97.4%</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36EA3BF" w14:textId="77777777" w:rsidR="00874955" w:rsidRPr="00874955" w:rsidRDefault="00874955" w:rsidP="00874955">
            <w:pPr>
              <w:pStyle w:val="LFTTabletext"/>
              <w:spacing w:line="20" w:lineRule="atLeast"/>
              <w:jc w:val="center"/>
              <w:rPr>
                <w:szCs w:val="18"/>
              </w:rPr>
            </w:pPr>
            <w:r w:rsidRPr="00874955">
              <w:rPr>
                <w:szCs w:val="18"/>
              </w:rPr>
              <w:t>94.5%</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68CBD0A"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03CFCA0" w14:textId="77777777" w:rsidR="00874955" w:rsidRPr="00874955" w:rsidRDefault="00874955" w:rsidP="00874955">
            <w:pPr>
              <w:pStyle w:val="LFTTabletext"/>
              <w:spacing w:line="20" w:lineRule="atLeast"/>
              <w:jc w:val="center"/>
              <w:rPr>
                <w:szCs w:val="18"/>
              </w:rPr>
            </w:pPr>
            <w:r w:rsidRPr="00874955">
              <w:rPr>
                <w:szCs w:val="18"/>
              </w:rPr>
              <w:t>85.0%</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EB477B7" w14:textId="77777777" w:rsidR="00874955" w:rsidRPr="00874955" w:rsidRDefault="00874955" w:rsidP="00874955">
            <w:pPr>
              <w:pStyle w:val="LFTTabletext"/>
              <w:spacing w:line="20" w:lineRule="atLeast"/>
              <w:jc w:val="center"/>
              <w:rPr>
                <w:szCs w:val="18"/>
              </w:rPr>
            </w:pPr>
            <w:r w:rsidRPr="00874955">
              <w:rPr>
                <w:szCs w:val="18"/>
              </w:rPr>
              <w:t>99.2%</w:t>
            </w:r>
          </w:p>
        </w:tc>
        <w:tc>
          <w:tcPr>
            <w:tcW w:w="990" w:type="dxa"/>
            <w:tcBorders>
              <w:top w:val="single" w:sz="4" w:space="0" w:color="auto"/>
              <w:left w:val="single" w:sz="4" w:space="0" w:color="auto"/>
              <w:bottom w:val="single" w:sz="4" w:space="0" w:color="auto"/>
              <w:right w:val="single" w:sz="4" w:space="0" w:color="auto"/>
            </w:tcBorders>
            <w:vAlign w:val="center"/>
          </w:tcPr>
          <w:p w14:paraId="1C618F69" w14:textId="77777777" w:rsidR="00874955" w:rsidRPr="00874955" w:rsidRDefault="00874955" w:rsidP="00874955">
            <w:pPr>
              <w:pStyle w:val="LFTTabletext"/>
              <w:spacing w:line="20" w:lineRule="atLeast"/>
              <w:jc w:val="center"/>
              <w:rPr>
                <w:szCs w:val="18"/>
              </w:rPr>
            </w:pPr>
            <w:r w:rsidRPr="00874955">
              <w:rPr>
                <w:szCs w:val="18"/>
              </w:rPr>
              <w:t>76.2%</w:t>
            </w:r>
          </w:p>
        </w:tc>
        <w:tc>
          <w:tcPr>
            <w:tcW w:w="990" w:type="dxa"/>
            <w:tcBorders>
              <w:top w:val="single" w:sz="4" w:space="0" w:color="auto"/>
              <w:left w:val="single" w:sz="4" w:space="0" w:color="auto"/>
              <w:bottom w:val="single" w:sz="4" w:space="0" w:color="auto"/>
              <w:right w:val="single" w:sz="4" w:space="0" w:color="auto"/>
            </w:tcBorders>
            <w:vAlign w:val="center"/>
          </w:tcPr>
          <w:p w14:paraId="65C76038" w14:textId="77777777" w:rsidR="00874955" w:rsidRPr="00874955" w:rsidRDefault="00874955" w:rsidP="00874955">
            <w:pPr>
              <w:pStyle w:val="LFTTabletext"/>
              <w:spacing w:line="20" w:lineRule="atLeast"/>
              <w:jc w:val="center"/>
              <w:rPr>
                <w:szCs w:val="18"/>
              </w:rPr>
            </w:pPr>
            <w:r w:rsidRPr="00874955">
              <w:rPr>
                <w:szCs w:val="18"/>
              </w:rPr>
              <w:t>73.7%</w:t>
            </w:r>
          </w:p>
        </w:tc>
      </w:tr>
      <w:tr w:rsidR="00874955" w:rsidRPr="00874955" w14:paraId="57648755" w14:textId="77777777" w:rsidTr="00874955">
        <w:trPr>
          <w:gridAfter w:val="3"/>
          <w:wAfter w:w="189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A042236" w14:textId="77777777" w:rsidR="00874955" w:rsidRPr="00874955" w:rsidRDefault="00874955" w:rsidP="00874955">
            <w:pPr>
              <w:pStyle w:val="LFTTabletext"/>
              <w:spacing w:line="20" w:lineRule="atLeast"/>
              <w:jc w:val="center"/>
              <w:rPr>
                <w:szCs w:val="18"/>
              </w:rPr>
            </w:pPr>
            <w:r w:rsidRPr="00874955">
              <w:rPr>
                <w:szCs w:val="18"/>
              </w:rPr>
              <w:t>Minimum</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BA15A37" w14:textId="77777777" w:rsidR="00874955" w:rsidRPr="00874955" w:rsidRDefault="00874955" w:rsidP="00874955">
            <w:pPr>
              <w:pStyle w:val="LFTTabletext"/>
              <w:spacing w:line="20" w:lineRule="atLeast"/>
              <w:jc w:val="center"/>
              <w:rPr>
                <w:szCs w:val="18"/>
              </w:rPr>
            </w:pPr>
            <w:r w:rsidRPr="00874955">
              <w:rPr>
                <w:szCs w:val="18"/>
              </w:rPr>
              <w:t>&lt;0.1</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80EDFB3" w14:textId="77777777" w:rsidR="00874955" w:rsidRPr="00874955" w:rsidRDefault="00874955" w:rsidP="00874955">
            <w:pPr>
              <w:pStyle w:val="LFTTabletext"/>
              <w:spacing w:line="20" w:lineRule="atLeast"/>
              <w:jc w:val="center"/>
              <w:rPr>
                <w:szCs w:val="18"/>
              </w:rPr>
            </w:pPr>
            <w:r w:rsidRPr="00874955">
              <w:rPr>
                <w:szCs w:val="18"/>
              </w:rPr>
              <w:t>&lt;1.5</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DA8A945" w14:textId="77777777" w:rsidR="00874955" w:rsidRPr="00874955" w:rsidRDefault="00874955" w:rsidP="00874955">
            <w:pPr>
              <w:pStyle w:val="LFTTabletext"/>
              <w:spacing w:line="20" w:lineRule="atLeast"/>
              <w:jc w:val="center"/>
              <w:rPr>
                <w:szCs w:val="18"/>
              </w:rPr>
            </w:pPr>
            <w:r w:rsidRPr="00874955">
              <w:rPr>
                <w:szCs w:val="18"/>
              </w:rPr>
              <w:t>&lt;0.01</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A72B4B4"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D8B21CE" w14:textId="77777777" w:rsidR="00874955" w:rsidRPr="00874955" w:rsidRDefault="00874955" w:rsidP="00874955">
            <w:pPr>
              <w:pStyle w:val="LFTTabletext"/>
              <w:spacing w:line="20" w:lineRule="atLeast"/>
              <w:jc w:val="center"/>
              <w:rPr>
                <w:szCs w:val="18"/>
              </w:rPr>
            </w:pPr>
            <w:r w:rsidRPr="00874955">
              <w:rPr>
                <w:szCs w:val="18"/>
              </w:rPr>
              <w:t>&lt;0.2</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D9C8918" w14:textId="77777777" w:rsidR="00874955" w:rsidRPr="00874955" w:rsidRDefault="00874955" w:rsidP="00874955">
            <w:pPr>
              <w:pStyle w:val="LFTTabletext"/>
              <w:spacing w:line="20" w:lineRule="atLeast"/>
              <w:jc w:val="center"/>
              <w:rPr>
                <w:szCs w:val="18"/>
              </w:rPr>
            </w:pPr>
            <w:r w:rsidRPr="00874955">
              <w:rPr>
                <w:szCs w:val="18"/>
              </w:rPr>
              <w:t>&lt;0.3</w:t>
            </w:r>
          </w:p>
        </w:tc>
        <w:tc>
          <w:tcPr>
            <w:tcW w:w="990" w:type="dxa"/>
            <w:tcBorders>
              <w:top w:val="single" w:sz="4" w:space="0" w:color="auto"/>
              <w:left w:val="single" w:sz="4" w:space="0" w:color="auto"/>
              <w:bottom w:val="single" w:sz="4" w:space="0" w:color="auto"/>
              <w:right w:val="single" w:sz="4" w:space="0" w:color="auto"/>
            </w:tcBorders>
            <w:vAlign w:val="center"/>
          </w:tcPr>
          <w:p w14:paraId="69442C77" w14:textId="77777777" w:rsidR="00874955" w:rsidRPr="00874955" w:rsidRDefault="00874955" w:rsidP="00874955">
            <w:pPr>
              <w:pStyle w:val="LFTTabletext"/>
              <w:spacing w:line="20" w:lineRule="atLeast"/>
              <w:jc w:val="center"/>
              <w:rPr>
                <w:szCs w:val="18"/>
              </w:rPr>
            </w:pPr>
            <w:r w:rsidRPr="00874955">
              <w:rPr>
                <w:szCs w:val="18"/>
              </w:rPr>
              <w:t>&lt;0.6</w:t>
            </w:r>
          </w:p>
        </w:tc>
        <w:tc>
          <w:tcPr>
            <w:tcW w:w="990" w:type="dxa"/>
            <w:tcBorders>
              <w:top w:val="single" w:sz="4" w:space="0" w:color="auto"/>
              <w:left w:val="single" w:sz="4" w:space="0" w:color="auto"/>
              <w:bottom w:val="single" w:sz="4" w:space="0" w:color="auto"/>
              <w:right w:val="single" w:sz="4" w:space="0" w:color="auto"/>
            </w:tcBorders>
            <w:vAlign w:val="center"/>
          </w:tcPr>
          <w:p w14:paraId="776ACDC2" w14:textId="77777777" w:rsidR="00874955" w:rsidRPr="00874955" w:rsidRDefault="00874955" w:rsidP="00874955">
            <w:pPr>
              <w:pStyle w:val="LFTTabletext"/>
              <w:spacing w:line="20" w:lineRule="atLeast"/>
              <w:jc w:val="center"/>
              <w:rPr>
                <w:szCs w:val="18"/>
              </w:rPr>
            </w:pPr>
            <w:r w:rsidRPr="00874955">
              <w:rPr>
                <w:szCs w:val="18"/>
              </w:rPr>
              <w:t>&lt;200</w:t>
            </w:r>
          </w:p>
        </w:tc>
      </w:tr>
      <w:tr w:rsidR="00874955" w:rsidRPr="00874955" w14:paraId="39006153" w14:textId="77777777" w:rsidTr="00874955">
        <w:trPr>
          <w:gridAfter w:val="3"/>
          <w:wAfter w:w="189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6A8AB75" w14:textId="77777777" w:rsidR="00874955" w:rsidRPr="00874955" w:rsidRDefault="00874955" w:rsidP="00874955">
            <w:pPr>
              <w:pStyle w:val="LFTTabletext"/>
              <w:spacing w:line="20" w:lineRule="atLeast"/>
              <w:jc w:val="center"/>
              <w:rPr>
                <w:szCs w:val="18"/>
              </w:rPr>
            </w:pPr>
            <w:r w:rsidRPr="00874955">
              <w:rPr>
                <w:szCs w:val="18"/>
              </w:rPr>
              <w:t>Maximum</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FC690B4" w14:textId="77777777" w:rsidR="00874955" w:rsidRPr="00874955" w:rsidRDefault="00874955" w:rsidP="00874955">
            <w:pPr>
              <w:pStyle w:val="LFTTabletext"/>
              <w:spacing w:line="20" w:lineRule="atLeast"/>
              <w:jc w:val="center"/>
              <w:rPr>
                <w:szCs w:val="18"/>
              </w:rPr>
            </w:pPr>
            <w:r w:rsidRPr="00874955">
              <w:rPr>
                <w:szCs w:val="18"/>
              </w:rPr>
              <w:t>8.2</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FAA2422" w14:textId="77777777" w:rsidR="00874955" w:rsidRPr="00874955" w:rsidRDefault="00874955" w:rsidP="00874955">
            <w:pPr>
              <w:pStyle w:val="LFTTabletext"/>
              <w:spacing w:line="20" w:lineRule="atLeast"/>
              <w:jc w:val="center"/>
              <w:rPr>
                <w:szCs w:val="18"/>
              </w:rPr>
            </w:pPr>
            <w:r w:rsidRPr="00874955">
              <w:rPr>
                <w:szCs w:val="18"/>
              </w:rPr>
              <w:t>18.1</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D38DE8F" w14:textId="77777777" w:rsidR="00874955" w:rsidRPr="00874955" w:rsidRDefault="00874955" w:rsidP="00874955">
            <w:pPr>
              <w:pStyle w:val="LFTTabletext"/>
              <w:spacing w:line="20" w:lineRule="atLeast"/>
              <w:jc w:val="center"/>
              <w:rPr>
                <w:szCs w:val="18"/>
              </w:rPr>
            </w:pPr>
            <w:r w:rsidRPr="00874955">
              <w:rPr>
                <w:szCs w:val="18"/>
              </w:rPr>
              <w:t>4.27</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9BEBBE2"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53AC631" w14:textId="77777777" w:rsidR="00874955" w:rsidRPr="00874955" w:rsidRDefault="00874955" w:rsidP="00874955">
            <w:pPr>
              <w:pStyle w:val="LFTTabletext"/>
              <w:spacing w:line="20" w:lineRule="atLeast"/>
              <w:jc w:val="center"/>
              <w:rPr>
                <w:szCs w:val="18"/>
              </w:rPr>
            </w:pPr>
            <w:r w:rsidRPr="00874955">
              <w:rPr>
                <w:szCs w:val="18"/>
              </w:rPr>
              <w:t>569.1</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AD1E74B" w14:textId="77777777" w:rsidR="00874955" w:rsidRPr="00874955" w:rsidRDefault="00874955" w:rsidP="00874955">
            <w:pPr>
              <w:pStyle w:val="LFTTabletext"/>
              <w:spacing w:line="20" w:lineRule="atLeast"/>
              <w:jc w:val="center"/>
              <w:rPr>
                <w:szCs w:val="18"/>
              </w:rPr>
            </w:pPr>
            <w:r w:rsidRPr="00874955">
              <w:rPr>
                <w:szCs w:val="18"/>
              </w:rPr>
              <w:t>3,050.5</w:t>
            </w:r>
          </w:p>
        </w:tc>
        <w:tc>
          <w:tcPr>
            <w:tcW w:w="990" w:type="dxa"/>
            <w:tcBorders>
              <w:top w:val="single" w:sz="4" w:space="0" w:color="auto"/>
              <w:left w:val="single" w:sz="4" w:space="0" w:color="auto"/>
              <w:bottom w:val="single" w:sz="4" w:space="0" w:color="auto"/>
              <w:right w:val="single" w:sz="4" w:space="0" w:color="auto"/>
            </w:tcBorders>
            <w:vAlign w:val="center"/>
          </w:tcPr>
          <w:p w14:paraId="21A30981" w14:textId="77777777" w:rsidR="00874955" w:rsidRPr="00874955" w:rsidRDefault="00874955" w:rsidP="00874955">
            <w:pPr>
              <w:pStyle w:val="LFTTabletext"/>
              <w:spacing w:line="20" w:lineRule="atLeast"/>
              <w:jc w:val="center"/>
              <w:rPr>
                <w:szCs w:val="18"/>
              </w:rPr>
            </w:pPr>
            <w:r w:rsidRPr="00874955">
              <w:rPr>
                <w:szCs w:val="18"/>
              </w:rPr>
              <w:t>13</w:t>
            </w:r>
          </w:p>
        </w:tc>
        <w:tc>
          <w:tcPr>
            <w:tcW w:w="990" w:type="dxa"/>
            <w:tcBorders>
              <w:top w:val="single" w:sz="4" w:space="0" w:color="auto"/>
              <w:left w:val="single" w:sz="4" w:space="0" w:color="auto"/>
              <w:bottom w:val="single" w:sz="4" w:space="0" w:color="auto"/>
              <w:right w:val="single" w:sz="4" w:space="0" w:color="auto"/>
            </w:tcBorders>
            <w:vAlign w:val="center"/>
          </w:tcPr>
          <w:p w14:paraId="06B06ADD" w14:textId="77777777" w:rsidR="00874955" w:rsidRPr="00874955" w:rsidRDefault="00874955" w:rsidP="00874955">
            <w:pPr>
              <w:pStyle w:val="LFTTabletext"/>
              <w:spacing w:line="20" w:lineRule="atLeast"/>
              <w:jc w:val="center"/>
              <w:rPr>
                <w:szCs w:val="18"/>
              </w:rPr>
            </w:pPr>
            <w:r w:rsidRPr="00874955">
              <w:rPr>
                <w:szCs w:val="18"/>
              </w:rPr>
              <w:t>28,000</w:t>
            </w:r>
          </w:p>
        </w:tc>
      </w:tr>
      <w:tr w:rsidR="00874955" w:rsidRPr="00874955" w14:paraId="23CEA95D" w14:textId="77777777" w:rsidTr="00874955">
        <w:trPr>
          <w:gridAfter w:val="3"/>
          <w:wAfter w:w="189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EA27A1A" w14:textId="77777777" w:rsidR="00874955" w:rsidRPr="00874955" w:rsidRDefault="00874955" w:rsidP="00874955">
            <w:pPr>
              <w:pStyle w:val="LFTTabletext"/>
              <w:spacing w:line="20" w:lineRule="atLeast"/>
              <w:jc w:val="center"/>
              <w:rPr>
                <w:szCs w:val="18"/>
              </w:rPr>
            </w:pPr>
            <w:r w:rsidRPr="00874955">
              <w:rPr>
                <w:szCs w:val="18"/>
              </w:rPr>
              <w:t>Median</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A332631" w14:textId="77777777" w:rsidR="00874955" w:rsidRPr="00874955" w:rsidRDefault="00874955" w:rsidP="00874955">
            <w:pPr>
              <w:pStyle w:val="LFTTabletext"/>
              <w:spacing w:line="20" w:lineRule="atLeast"/>
              <w:jc w:val="center"/>
              <w:rPr>
                <w:szCs w:val="18"/>
              </w:rPr>
            </w:pPr>
            <w:r w:rsidRPr="00874955">
              <w:rPr>
                <w:szCs w:val="18"/>
              </w:rPr>
              <w:t>0.6</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74CEB1C" w14:textId="77777777" w:rsidR="00874955" w:rsidRPr="00874955" w:rsidRDefault="00874955" w:rsidP="00874955">
            <w:pPr>
              <w:pStyle w:val="LFTTabletext"/>
              <w:spacing w:line="20" w:lineRule="atLeast"/>
              <w:jc w:val="center"/>
              <w:rPr>
                <w:szCs w:val="18"/>
              </w:rPr>
            </w:pPr>
            <w:r w:rsidRPr="00874955">
              <w:rPr>
                <w:szCs w:val="18"/>
              </w:rPr>
              <w:t>1.75</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CE46BB0" w14:textId="77777777" w:rsidR="00874955" w:rsidRPr="00874955" w:rsidRDefault="00874955" w:rsidP="00874955">
            <w:pPr>
              <w:pStyle w:val="LFTTabletext"/>
              <w:spacing w:line="20" w:lineRule="atLeast"/>
              <w:jc w:val="center"/>
              <w:rPr>
                <w:szCs w:val="18"/>
              </w:rPr>
            </w:pPr>
            <w:r w:rsidRPr="00874955">
              <w:rPr>
                <w:szCs w:val="18"/>
              </w:rPr>
              <w:t>0.2</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204029A"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EE4823E" w14:textId="77777777" w:rsidR="00874955" w:rsidRPr="00874955" w:rsidRDefault="00874955" w:rsidP="00874955">
            <w:pPr>
              <w:pStyle w:val="LFTTabletext"/>
              <w:spacing w:line="20" w:lineRule="atLeast"/>
              <w:jc w:val="center"/>
              <w:rPr>
                <w:szCs w:val="18"/>
              </w:rPr>
            </w:pPr>
            <w:r w:rsidRPr="00874955">
              <w:rPr>
                <w:szCs w:val="18"/>
              </w:rPr>
              <w:t>17</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F657C7C" w14:textId="77777777" w:rsidR="00874955" w:rsidRPr="00874955" w:rsidRDefault="00874955" w:rsidP="00874955">
            <w:pPr>
              <w:pStyle w:val="LFTTabletext"/>
              <w:spacing w:line="20" w:lineRule="atLeast"/>
              <w:jc w:val="center"/>
              <w:rPr>
                <w:szCs w:val="18"/>
              </w:rPr>
            </w:pPr>
            <w:r w:rsidRPr="00874955">
              <w:rPr>
                <w:szCs w:val="18"/>
              </w:rPr>
              <w:t>110</w:t>
            </w:r>
          </w:p>
        </w:tc>
        <w:tc>
          <w:tcPr>
            <w:tcW w:w="990" w:type="dxa"/>
            <w:tcBorders>
              <w:top w:val="single" w:sz="4" w:space="0" w:color="auto"/>
              <w:left w:val="single" w:sz="4" w:space="0" w:color="auto"/>
              <w:bottom w:val="single" w:sz="4" w:space="0" w:color="auto"/>
              <w:right w:val="single" w:sz="4" w:space="0" w:color="auto"/>
            </w:tcBorders>
            <w:vAlign w:val="center"/>
          </w:tcPr>
          <w:p w14:paraId="03658A7A" w14:textId="77777777" w:rsidR="00874955" w:rsidRPr="00874955" w:rsidRDefault="00874955" w:rsidP="00874955">
            <w:pPr>
              <w:pStyle w:val="LFTTabletext"/>
              <w:spacing w:line="20" w:lineRule="atLeast"/>
              <w:jc w:val="center"/>
              <w:rPr>
                <w:szCs w:val="18"/>
              </w:rPr>
            </w:pPr>
            <w:r w:rsidRPr="00874955">
              <w:rPr>
                <w:szCs w:val="18"/>
              </w:rPr>
              <w:t>16</w:t>
            </w:r>
          </w:p>
        </w:tc>
        <w:tc>
          <w:tcPr>
            <w:tcW w:w="990" w:type="dxa"/>
            <w:tcBorders>
              <w:top w:val="single" w:sz="4" w:space="0" w:color="auto"/>
              <w:left w:val="single" w:sz="4" w:space="0" w:color="auto"/>
              <w:bottom w:val="single" w:sz="4" w:space="0" w:color="auto"/>
              <w:right w:val="single" w:sz="4" w:space="0" w:color="auto"/>
            </w:tcBorders>
            <w:vAlign w:val="center"/>
          </w:tcPr>
          <w:p w14:paraId="697E0D3C" w14:textId="77777777" w:rsidR="00874955" w:rsidRPr="00874955" w:rsidRDefault="00874955" w:rsidP="00874955">
            <w:pPr>
              <w:pStyle w:val="LFTTabletext"/>
              <w:spacing w:line="20" w:lineRule="atLeast"/>
              <w:jc w:val="center"/>
              <w:rPr>
                <w:szCs w:val="18"/>
              </w:rPr>
            </w:pPr>
            <w:r w:rsidRPr="00874955">
              <w:rPr>
                <w:szCs w:val="18"/>
              </w:rPr>
              <w:t>450</w:t>
            </w:r>
          </w:p>
        </w:tc>
      </w:tr>
      <w:tr w:rsidR="00874955" w:rsidRPr="00874955" w14:paraId="0DA012B9" w14:textId="77777777" w:rsidTr="00874955">
        <w:trPr>
          <w:gridAfter w:val="3"/>
          <w:wAfter w:w="1890" w:type="dxa"/>
          <w:trHeight w:val="20"/>
        </w:trPr>
        <w:tc>
          <w:tcPr>
            <w:tcW w:w="2444" w:type="dxa"/>
            <w:gridSpan w:val="2"/>
            <w:tcBorders>
              <w:top w:val="single" w:sz="4" w:space="0" w:color="auto"/>
              <w:left w:val="single" w:sz="4" w:space="0" w:color="auto"/>
              <w:bottom w:val="single" w:sz="4" w:space="0" w:color="auto"/>
            </w:tcBorders>
            <w:shd w:val="clear" w:color="auto" w:fill="9CCEF0" w:themeFill="accent4" w:themeFillShade="E6"/>
            <w:noWrap/>
            <w:tcMar>
              <w:top w:w="14" w:type="dxa"/>
              <w:left w:w="14" w:type="dxa"/>
              <w:bottom w:w="0" w:type="dxa"/>
              <w:right w:w="14" w:type="dxa"/>
            </w:tcMar>
            <w:vAlign w:val="center"/>
          </w:tcPr>
          <w:p w14:paraId="4A442435" w14:textId="77777777" w:rsidR="00874955" w:rsidRPr="00874955" w:rsidRDefault="00874955" w:rsidP="00874955">
            <w:pPr>
              <w:pStyle w:val="LFTTabletext"/>
              <w:spacing w:line="20" w:lineRule="atLeast"/>
              <w:jc w:val="center"/>
              <w:rPr>
                <w:szCs w:val="18"/>
              </w:rPr>
            </w:pPr>
            <w:r w:rsidRPr="00874955">
              <w:rPr>
                <w:szCs w:val="18"/>
              </w:rPr>
              <w:t>Industrial</w:t>
            </w:r>
            <w:r w:rsidRPr="00874955">
              <w:rPr>
                <w:bCs w:val="0"/>
                <w:szCs w:val="18"/>
                <w:vertAlign w:val="superscript"/>
              </w:rPr>
              <w:t>1</w:t>
            </w:r>
            <w:r w:rsidRPr="00874955">
              <w:rPr>
                <w:szCs w:val="18"/>
              </w:rPr>
              <w:t xml:space="preserve"> </w:t>
            </w:r>
          </w:p>
        </w:tc>
        <w:tc>
          <w:tcPr>
            <w:tcW w:w="810" w:type="dxa"/>
            <w:tcBorders>
              <w:top w:val="single" w:sz="4" w:space="0" w:color="auto"/>
              <w:bottom w:val="single" w:sz="4" w:space="0" w:color="auto"/>
            </w:tcBorders>
            <w:shd w:val="clear" w:color="auto" w:fill="9CCEF0" w:themeFill="accent4" w:themeFillShade="E6"/>
            <w:noWrap/>
            <w:tcMar>
              <w:top w:w="14" w:type="dxa"/>
              <w:left w:w="14" w:type="dxa"/>
              <w:bottom w:w="0" w:type="dxa"/>
              <w:right w:w="14" w:type="dxa"/>
            </w:tcMar>
            <w:vAlign w:val="center"/>
          </w:tcPr>
          <w:p w14:paraId="332DF3C6" w14:textId="77777777" w:rsidR="00874955" w:rsidRPr="00874955" w:rsidRDefault="00874955" w:rsidP="00874955">
            <w:pPr>
              <w:pStyle w:val="LFTTabletext"/>
              <w:spacing w:line="20" w:lineRule="atLeast"/>
              <w:jc w:val="center"/>
              <w:rPr>
                <w:szCs w:val="18"/>
              </w:rPr>
            </w:pPr>
          </w:p>
        </w:tc>
        <w:tc>
          <w:tcPr>
            <w:tcW w:w="810" w:type="dxa"/>
            <w:tcBorders>
              <w:top w:val="single" w:sz="4" w:space="0" w:color="auto"/>
              <w:bottom w:val="single" w:sz="4" w:space="0" w:color="auto"/>
            </w:tcBorders>
            <w:shd w:val="clear" w:color="auto" w:fill="9CCEF0" w:themeFill="accent4" w:themeFillShade="E6"/>
            <w:noWrap/>
            <w:tcMar>
              <w:top w:w="14" w:type="dxa"/>
              <w:left w:w="14" w:type="dxa"/>
              <w:bottom w:w="0" w:type="dxa"/>
              <w:right w:w="14" w:type="dxa"/>
            </w:tcMar>
            <w:vAlign w:val="center"/>
          </w:tcPr>
          <w:p w14:paraId="04EDC9B3" w14:textId="77777777" w:rsidR="00874955" w:rsidRPr="00874955" w:rsidRDefault="00874955" w:rsidP="00874955">
            <w:pPr>
              <w:pStyle w:val="LFTTabletext"/>
              <w:spacing w:line="20" w:lineRule="atLeast"/>
              <w:jc w:val="center"/>
              <w:rPr>
                <w:szCs w:val="18"/>
              </w:rPr>
            </w:pPr>
          </w:p>
        </w:tc>
        <w:tc>
          <w:tcPr>
            <w:tcW w:w="900" w:type="dxa"/>
            <w:tcBorders>
              <w:top w:val="single" w:sz="4" w:space="0" w:color="auto"/>
              <w:bottom w:val="single" w:sz="4" w:space="0" w:color="auto"/>
            </w:tcBorders>
            <w:shd w:val="clear" w:color="auto" w:fill="9CCEF0" w:themeFill="accent4" w:themeFillShade="E6"/>
            <w:noWrap/>
            <w:tcMar>
              <w:top w:w="14" w:type="dxa"/>
              <w:left w:w="14" w:type="dxa"/>
              <w:bottom w:w="0" w:type="dxa"/>
              <w:right w:w="14" w:type="dxa"/>
            </w:tcMar>
            <w:vAlign w:val="center"/>
          </w:tcPr>
          <w:p w14:paraId="315F988B" w14:textId="77777777" w:rsidR="00874955" w:rsidRPr="00874955" w:rsidRDefault="00874955" w:rsidP="00874955">
            <w:pPr>
              <w:pStyle w:val="LFTTabletext"/>
              <w:spacing w:line="20" w:lineRule="atLeast"/>
              <w:jc w:val="center"/>
              <w:rPr>
                <w:szCs w:val="18"/>
              </w:rPr>
            </w:pPr>
          </w:p>
        </w:tc>
        <w:tc>
          <w:tcPr>
            <w:tcW w:w="900" w:type="dxa"/>
            <w:tcBorders>
              <w:top w:val="single" w:sz="4" w:space="0" w:color="auto"/>
              <w:bottom w:val="single" w:sz="4" w:space="0" w:color="auto"/>
            </w:tcBorders>
            <w:shd w:val="clear" w:color="auto" w:fill="9CCEF0" w:themeFill="accent4" w:themeFillShade="E6"/>
            <w:noWrap/>
            <w:tcMar>
              <w:top w:w="14" w:type="dxa"/>
              <w:left w:w="14" w:type="dxa"/>
              <w:bottom w:w="0" w:type="dxa"/>
              <w:right w:w="14" w:type="dxa"/>
            </w:tcMar>
            <w:vAlign w:val="center"/>
          </w:tcPr>
          <w:p w14:paraId="3B6BCF08" w14:textId="77777777" w:rsidR="00874955" w:rsidRPr="00874955" w:rsidRDefault="00874955" w:rsidP="00874955">
            <w:pPr>
              <w:pStyle w:val="LFTTabletext"/>
              <w:spacing w:line="20" w:lineRule="atLeast"/>
              <w:jc w:val="center"/>
              <w:rPr>
                <w:szCs w:val="18"/>
              </w:rPr>
            </w:pPr>
          </w:p>
        </w:tc>
        <w:tc>
          <w:tcPr>
            <w:tcW w:w="900" w:type="dxa"/>
            <w:tcBorders>
              <w:top w:val="single" w:sz="4" w:space="0" w:color="auto"/>
              <w:bottom w:val="single" w:sz="4" w:space="0" w:color="auto"/>
            </w:tcBorders>
            <w:shd w:val="clear" w:color="auto" w:fill="9CCEF0" w:themeFill="accent4" w:themeFillShade="E6"/>
            <w:noWrap/>
            <w:tcMar>
              <w:top w:w="14" w:type="dxa"/>
              <w:left w:w="14" w:type="dxa"/>
              <w:bottom w:w="0" w:type="dxa"/>
              <w:right w:w="14" w:type="dxa"/>
            </w:tcMar>
            <w:vAlign w:val="center"/>
          </w:tcPr>
          <w:p w14:paraId="31F24B23" w14:textId="77777777" w:rsidR="00874955" w:rsidRPr="00874955" w:rsidRDefault="00874955" w:rsidP="00874955">
            <w:pPr>
              <w:pStyle w:val="LFTTabletext"/>
              <w:spacing w:line="20" w:lineRule="atLeast"/>
              <w:jc w:val="center"/>
              <w:rPr>
                <w:szCs w:val="18"/>
              </w:rPr>
            </w:pPr>
          </w:p>
        </w:tc>
        <w:tc>
          <w:tcPr>
            <w:tcW w:w="900" w:type="dxa"/>
            <w:tcBorders>
              <w:top w:val="single" w:sz="4" w:space="0" w:color="auto"/>
              <w:bottom w:val="single" w:sz="4" w:space="0" w:color="auto"/>
            </w:tcBorders>
            <w:shd w:val="clear" w:color="auto" w:fill="9CCEF0" w:themeFill="accent4" w:themeFillShade="E6"/>
            <w:noWrap/>
            <w:tcMar>
              <w:top w:w="14" w:type="dxa"/>
              <w:left w:w="14" w:type="dxa"/>
              <w:bottom w:w="0" w:type="dxa"/>
              <w:right w:w="14" w:type="dxa"/>
            </w:tcMar>
            <w:vAlign w:val="center"/>
          </w:tcPr>
          <w:p w14:paraId="37394067" w14:textId="77777777" w:rsidR="00874955" w:rsidRPr="00874955" w:rsidRDefault="00874955" w:rsidP="00874955">
            <w:pPr>
              <w:pStyle w:val="LFTTabletext"/>
              <w:spacing w:line="20" w:lineRule="atLeast"/>
              <w:jc w:val="center"/>
              <w:rPr>
                <w:szCs w:val="18"/>
              </w:rPr>
            </w:pPr>
          </w:p>
        </w:tc>
        <w:tc>
          <w:tcPr>
            <w:tcW w:w="990" w:type="dxa"/>
            <w:tcBorders>
              <w:top w:val="single" w:sz="4" w:space="0" w:color="auto"/>
              <w:bottom w:val="single" w:sz="4" w:space="0" w:color="auto"/>
              <w:right w:val="single" w:sz="4" w:space="0" w:color="auto"/>
            </w:tcBorders>
            <w:shd w:val="clear" w:color="auto" w:fill="9CCEF0" w:themeFill="accent4" w:themeFillShade="E6"/>
            <w:vAlign w:val="center"/>
          </w:tcPr>
          <w:p w14:paraId="2A687C39" w14:textId="77777777" w:rsidR="00874955" w:rsidRPr="00874955" w:rsidRDefault="00874955" w:rsidP="00874955">
            <w:pPr>
              <w:pStyle w:val="LFTTabletext"/>
              <w:spacing w:line="20" w:lineRule="atLeast"/>
              <w:jc w:val="center"/>
              <w:rPr>
                <w:szCs w:val="18"/>
              </w:rPr>
            </w:pPr>
          </w:p>
        </w:tc>
        <w:tc>
          <w:tcPr>
            <w:tcW w:w="990" w:type="dxa"/>
            <w:tcBorders>
              <w:top w:val="single" w:sz="4" w:space="0" w:color="auto"/>
              <w:bottom w:val="single" w:sz="4" w:space="0" w:color="auto"/>
              <w:right w:val="single" w:sz="4" w:space="0" w:color="auto"/>
            </w:tcBorders>
            <w:shd w:val="clear" w:color="auto" w:fill="9CCEF0" w:themeFill="accent4" w:themeFillShade="E6"/>
            <w:vAlign w:val="center"/>
          </w:tcPr>
          <w:p w14:paraId="05725128" w14:textId="77777777" w:rsidR="00874955" w:rsidRPr="00874955" w:rsidRDefault="00874955" w:rsidP="00874955">
            <w:pPr>
              <w:pStyle w:val="LFTTabletext"/>
              <w:spacing w:line="20" w:lineRule="atLeast"/>
              <w:jc w:val="center"/>
              <w:rPr>
                <w:szCs w:val="18"/>
              </w:rPr>
            </w:pPr>
          </w:p>
        </w:tc>
      </w:tr>
      <w:tr w:rsidR="00874955" w:rsidRPr="00874955" w14:paraId="14D8662C" w14:textId="77777777" w:rsidTr="00874955">
        <w:trPr>
          <w:gridBefore w:val="1"/>
          <w:gridAfter w:val="3"/>
          <w:wBefore w:w="14" w:type="dxa"/>
          <w:wAfter w:w="1890" w:type="dxa"/>
          <w:trHeight w:val="20"/>
        </w:trPr>
        <w:tc>
          <w:tcPr>
            <w:tcW w:w="243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50FAF69B" w14:textId="77777777" w:rsidR="00874955" w:rsidRPr="00874955" w:rsidRDefault="00874955" w:rsidP="00874955">
            <w:pPr>
              <w:pStyle w:val="LFTTabletext"/>
              <w:spacing w:line="20" w:lineRule="atLeast"/>
              <w:jc w:val="center"/>
              <w:rPr>
                <w:szCs w:val="18"/>
              </w:rPr>
            </w:pPr>
            <w:r w:rsidRPr="00874955">
              <w:rPr>
                <w:szCs w:val="18"/>
              </w:rPr>
              <w:t>Number of sites</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46D38960" w14:textId="77777777" w:rsidR="00874955" w:rsidRPr="00874955" w:rsidRDefault="00874955" w:rsidP="00874955">
            <w:pPr>
              <w:pStyle w:val="LFTTabletext"/>
              <w:spacing w:line="20" w:lineRule="atLeast"/>
              <w:jc w:val="center"/>
              <w:rPr>
                <w:szCs w:val="18"/>
              </w:rPr>
            </w:pPr>
            <w:r w:rsidRPr="00874955">
              <w:rPr>
                <w:szCs w:val="18"/>
              </w:rPr>
              <w:t>58</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3C4A0563" w14:textId="77777777" w:rsidR="00874955" w:rsidRPr="00874955" w:rsidRDefault="00874955" w:rsidP="00874955">
            <w:pPr>
              <w:pStyle w:val="LFTTabletext"/>
              <w:spacing w:line="20" w:lineRule="atLeast"/>
              <w:jc w:val="center"/>
              <w:rPr>
                <w:szCs w:val="18"/>
              </w:rPr>
            </w:pPr>
            <w:r w:rsidRPr="00874955">
              <w:rPr>
                <w:szCs w:val="18"/>
              </w:rPr>
              <w:t>51</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7EBD74D0" w14:textId="77777777" w:rsidR="00874955" w:rsidRPr="00874955" w:rsidRDefault="00874955" w:rsidP="00874955">
            <w:pPr>
              <w:pStyle w:val="LFTTabletext"/>
              <w:spacing w:line="20" w:lineRule="atLeast"/>
              <w:jc w:val="center"/>
              <w:rPr>
                <w:szCs w:val="18"/>
              </w:rPr>
            </w:pPr>
            <w:r w:rsidRPr="00874955">
              <w:rPr>
                <w:szCs w:val="18"/>
              </w:rPr>
              <w:t>13</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45374533" w14:textId="77777777" w:rsidR="00874955" w:rsidRPr="00874955" w:rsidRDefault="00874955" w:rsidP="00874955">
            <w:pPr>
              <w:pStyle w:val="LFTTabletext"/>
              <w:spacing w:line="20" w:lineRule="atLeast"/>
              <w:jc w:val="center"/>
              <w:rPr>
                <w:szCs w:val="18"/>
              </w:rPr>
            </w:pPr>
            <w:r w:rsidRPr="00874955">
              <w:rPr>
                <w:szCs w:val="18"/>
              </w:rPr>
              <w:t>1</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74669642" w14:textId="77777777" w:rsidR="00874955" w:rsidRPr="00874955" w:rsidRDefault="00874955" w:rsidP="00874955">
            <w:pPr>
              <w:pStyle w:val="LFTTabletext"/>
              <w:spacing w:line="20" w:lineRule="atLeast"/>
              <w:jc w:val="center"/>
              <w:rPr>
                <w:szCs w:val="18"/>
              </w:rPr>
            </w:pPr>
            <w:r w:rsidRPr="00874955">
              <w:rPr>
                <w:szCs w:val="18"/>
              </w:rPr>
              <w:t>65</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1E9F4EED" w14:textId="77777777" w:rsidR="00874955" w:rsidRPr="00874955" w:rsidRDefault="00874955" w:rsidP="00874955">
            <w:pPr>
              <w:pStyle w:val="LFTTabletext"/>
              <w:spacing w:line="20" w:lineRule="atLeast"/>
              <w:jc w:val="center"/>
              <w:rPr>
                <w:szCs w:val="18"/>
              </w:rPr>
            </w:pPr>
            <w:r w:rsidRPr="00874955">
              <w:rPr>
                <w:szCs w:val="18"/>
              </w:rPr>
              <w:t>67</w:t>
            </w:r>
          </w:p>
        </w:tc>
        <w:tc>
          <w:tcPr>
            <w:tcW w:w="990" w:type="dxa"/>
            <w:tcBorders>
              <w:top w:val="single" w:sz="4" w:space="0" w:color="auto"/>
              <w:left w:val="single" w:sz="4" w:space="0" w:color="auto"/>
              <w:bottom w:val="single" w:sz="4" w:space="0" w:color="auto"/>
              <w:right w:val="single" w:sz="4" w:space="0" w:color="auto"/>
            </w:tcBorders>
            <w:vAlign w:val="center"/>
          </w:tcPr>
          <w:p w14:paraId="60A391C5" w14:textId="77777777" w:rsidR="00874955" w:rsidRPr="00874955" w:rsidRDefault="00874955" w:rsidP="00874955">
            <w:pPr>
              <w:pStyle w:val="LFTTabletext"/>
              <w:spacing w:line="20" w:lineRule="atLeast"/>
              <w:jc w:val="center"/>
              <w:rPr>
                <w:szCs w:val="18"/>
              </w:rPr>
            </w:pPr>
            <w:r w:rsidRPr="00874955">
              <w:rPr>
                <w:szCs w:val="18"/>
              </w:rPr>
              <w:t>4</w:t>
            </w:r>
          </w:p>
        </w:tc>
        <w:tc>
          <w:tcPr>
            <w:tcW w:w="990" w:type="dxa"/>
            <w:tcBorders>
              <w:top w:val="single" w:sz="4" w:space="0" w:color="auto"/>
              <w:left w:val="single" w:sz="4" w:space="0" w:color="auto"/>
              <w:bottom w:val="single" w:sz="4" w:space="0" w:color="auto"/>
              <w:right w:val="single" w:sz="4" w:space="0" w:color="auto"/>
            </w:tcBorders>
            <w:vAlign w:val="center"/>
          </w:tcPr>
          <w:p w14:paraId="7E1C0AD4" w14:textId="77777777" w:rsidR="00874955" w:rsidRPr="00874955" w:rsidRDefault="00874955" w:rsidP="00874955">
            <w:pPr>
              <w:pStyle w:val="LFTTabletext"/>
              <w:spacing w:line="20" w:lineRule="atLeast"/>
              <w:jc w:val="center"/>
              <w:rPr>
                <w:szCs w:val="18"/>
              </w:rPr>
            </w:pPr>
            <w:r w:rsidRPr="00874955">
              <w:rPr>
                <w:szCs w:val="18"/>
              </w:rPr>
              <w:t>6</w:t>
            </w:r>
          </w:p>
        </w:tc>
      </w:tr>
      <w:tr w:rsidR="00874955" w:rsidRPr="00874955" w14:paraId="23ACB732" w14:textId="77777777" w:rsidTr="00874955">
        <w:trPr>
          <w:gridBefore w:val="1"/>
          <w:gridAfter w:val="3"/>
          <w:wBefore w:w="14" w:type="dxa"/>
          <w:wAfter w:w="1890" w:type="dxa"/>
          <w:trHeight w:val="20"/>
        </w:trPr>
        <w:tc>
          <w:tcPr>
            <w:tcW w:w="243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4CD462E7" w14:textId="77777777" w:rsidR="00874955" w:rsidRPr="00874955" w:rsidRDefault="00874955" w:rsidP="00874955">
            <w:pPr>
              <w:pStyle w:val="LFTTabletext"/>
              <w:spacing w:line="20" w:lineRule="atLeast"/>
              <w:jc w:val="center"/>
              <w:rPr>
                <w:szCs w:val="18"/>
              </w:rPr>
            </w:pPr>
            <w:r w:rsidRPr="00874955">
              <w:rPr>
                <w:szCs w:val="18"/>
              </w:rPr>
              <w:t>Number of observations</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0AE3053F" w14:textId="77777777" w:rsidR="00874955" w:rsidRPr="00874955" w:rsidRDefault="00874955" w:rsidP="00874955">
            <w:pPr>
              <w:pStyle w:val="LFTTabletext"/>
              <w:spacing w:line="20" w:lineRule="atLeast"/>
              <w:jc w:val="center"/>
              <w:rPr>
                <w:szCs w:val="18"/>
              </w:rPr>
            </w:pPr>
            <w:r w:rsidRPr="00874955">
              <w:rPr>
                <w:szCs w:val="18"/>
              </w:rPr>
              <w:t>619</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424D06BF" w14:textId="77777777" w:rsidR="00874955" w:rsidRPr="00874955" w:rsidRDefault="00874955" w:rsidP="00874955">
            <w:pPr>
              <w:pStyle w:val="LFTTabletext"/>
              <w:spacing w:line="20" w:lineRule="atLeast"/>
              <w:jc w:val="center"/>
              <w:rPr>
                <w:szCs w:val="18"/>
              </w:rPr>
            </w:pPr>
            <w:r w:rsidRPr="00874955">
              <w:rPr>
                <w:szCs w:val="18"/>
              </w:rPr>
              <w:t>536</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2008A475" w14:textId="77777777" w:rsidR="00874955" w:rsidRPr="00874955" w:rsidRDefault="00874955" w:rsidP="00874955">
            <w:pPr>
              <w:pStyle w:val="LFTTabletext"/>
              <w:spacing w:line="20" w:lineRule="atLeast"/>
              <w:jc w:val="center"/>
              <w:rPr>
                <w:szCs w:val="18"/>
              </w:rPr>
            </w:pPr>
            <w:r w:rsidRPr="00874955">
              <w:rPr>
                <w:szCs w:val="18"/>
              </w:rPr>
              <w:t>85</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0699D288" w14:textId="77777777" w:rsidR="00874955" w:rsidRPr="00874955" w:rsidRDefault="00874955" w:rsidP="00874955">
            <w:pPr>
              <w:pStyle w:val="LFTTabletext"/>
              <w:spacing w:line="20" w:lineRule="atLeast"/>
              <w:jc w:val="center"/>
              <w:rPr>
                <w:szCs w:val="18"/>
              </w:rPr>
            </w:pPr>
            <w:r w:rsidRPr="00874955">
              <w:rPr>
                <w:szCs w:val="18"/>
              </w:rPr>
              <w:t>10</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562E5D75" w14:textId="77777777" w:rsidR="00874955" w:rsidRPr="00874955" w:rsidRDefault="00874955" w:rsidP="00874955">
            <w:pPr>
              <w:pStyle w:val="LFTTabletext"/>
              <w:spacing w:line="20" w:lineRule="atLeast"/>
              <w:jc w:val="center"/>
              <w:rPr>
                <w:szCs w:val="18"/>
              </w:rPr>
            </w:pPr>
            <w:r w:rsidRPr="00874955">
              <w:rPr>
                <w:szCs w:val="18"/>
              </w:rPr>
              <w:t>569</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4BC4383B" w14:textId="77777777" w:rsidR="00874955" w:rsidRPr="00874955" w:rsidRDefault="00874955" w:rsidP="00874955">
            <w:pPr>
              <w:pStyle w:val="LFTTabletext"/>
              <w:spacing w:line="20" w:lineRule="atLeast"/>
              <w:jc w:val="center"/>
              <w:rPr>
                <w:szCs w:val="18"/>
              </w:rPr>
            </w:pPr>
            <w:r w:rsidRPr="00874955">
              <w:rPr>
                <w:szCs w:val="18"/>
              </w:rPr>
              <w:t>627</w:t>
            </w:r>
          </w:p>
        </w:tc>
        <w:tc>
          <w:tcPr>
            <w:tcW w:w="990" w:type="dxa"/>
            <w:tcBorders>
              <w:top w:val="single" w:sz="4" w:space="0" w:color="auto"/>
              <w:left w:val="single" w:sz="4" w:space="0" w:color="auto"/>
              <w:bottom w:val="single" w:sz="4" w:space="0" w:color="auto"/>
              <w:right w:val="single" w:sz="4" w:space="0" w:color="auto"/>
            </w:tcBorders>
            <w:vAlign w:val="center"/>
          </w:tcPr>
          <w:p w14:paraId="41AE0A66" w14:textId="77777777" w:rsidR="00874955" w:rsidRPr="00874955" w:rsidRDefault="00874955" w:rsidP="00874955">
            <w:pPr>
              <w:pStyle w:val="LFTTabletext"/>
              <w:spacing w:line="20" w:lineRule="atLeast"/>
              <w:jc w:val="center"/>
              <w:rPr>
                <w:szCs w:val="18"/>
              </w:rPr>
            </w:pPr>
            <w:r w:rsidRPr="00874955">
              <w:rPr>
                <w:szCs w:val="18"/>
              </w:rPr>
              <w:t>26</w:t>
            </w:r>
          </w:p>
        </w:tc>
        <w:tc>
          <w:tcPr>
            <w:tcW w:w="990" w:type="dxa"/>
            <w:tcBorders>
              <w:top w:val="single" w:sz="4" w:space="0" w:color="auto"/>
              <w:left w:val="single" w:sz="4" w:space="0" w:color="auto"/>
              <w:bottom w:val="single" w:sz="4" w:space="0" w:color="auto"/>
              <w:right w:val="single" w:sz="4" w:space="0" w:color="auto"/>
            </w:tcBorders>
            <w:vAlign w:val="center"/>
          </w:tcPr>
          <w:p w14:paraId="4CD1B229" w14:textId="77777777" w:rsidR="00874955" w:rsidRPr="00874955" w:rsidRDefault="00874955" w:rsidP="00874955">
            <w:pPr>
              <w:pStyle w:val="LFTTabletext"/>
              <w:spacing w:line="20" w:lineRule="atLeast"/>
              <w:jc w:val="center"/>
              <w:rPr>
                <w:szCs w:val="18"/>
              </w:rPr>
            </w:pPr>
            <w:r w:rsidRPr="00874955">
              <w:rPr>
                <w:szCs w:val="18"/>
              </w:rPr>
              <w:t>32</w:t>
            </w:r>
          </w:p>
        </w:tc>
      </w:tr>
      <w:tr w:rsidR="00874955" w:rsidRPr="00874955" w14:paraId="03F50E23" w14:textId="77777777" w:rsidTr="00874955">
        <w:trPr>
          <w:gridBefore w:val="1"/>
          <w:gridAfter w:val="3"/>
          <w:wBefore w:w="14" w:type="dxa"/>
          <w:wAfter w:w="1890" w:type="dxa"/>
          <w:trHeight w:val="20"/>
        </w:trPr>
        <w:tc>
          <w:tcPr>
            <w:tcW w:w="243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33FCCD03" w14:textId="77777777" w:rsidR="00874955" w:rsidRPr="00874955" w:rsidRDefault="00874955" w:rsidP="00874955">
            <w:pPr>
              <w:pStyle w:val="LFTTabletext"/>
              <w:spacing w:line="20" w:lineRule="atLeast"/>
              <w:jc w:val="center"/>
              <w:rPr>
                <w:szCs w:val="18"/>
              </w:rPr>
            </w:pPr>
            <w:r w:rsidRPr="00874955">
              <w:rPr>
                <w:szCs w:val="18"/>
              </w:rPr>
              <w:t>% of samples above the detection limit</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0451A963" w14:textId="77777777" w:rsidR="00874955" w:rsidRPr="00874955" w:rsidRDefault="00874955" w:rsidP="00874955">
            <w:pPr>
              <w:pStyle w:val="LFTTabletext"/>
              <w:spacing w:line="20" w:lineRule="atLeast"/>
              <w:jc w:val="center"/>
              <w:rPr>
                <w:szCs w:val="18"/>
              </w:rPr>
            </w:pPr>
            <w:r w:rsidRPr="00874955">
              <w:rPr>
                <w:szCs w:val="18"/>
              </w:rPr>
              <w:t>99.5%</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4BDBDE68" w14:textId="77777777" w:rsidR="00874955" w:rsidRPr="00874955" w:rsidRDefault="00874955" w:rsidP="00874955">
            <w:pPr>
              <w:pStyle w:val="LFTTabletext"/>
              <w:spacing w:line="20" w:lineRule="atLeast"/>
              <w:jc w:val="center"/>
              <w:rPr>
                <w:szCs w:val="18"/>
              </w:rPr>
            </w:pPr>
            <w:r w:rsidRPr="00874955">
              <w:rPr>
                <w:szCs w:val="18"/>
              </w:rPr>
              <w:t>97.0%%</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4CF01266" w14:textId="77777777" w:rsidR="00874955" w:rsidRPr="00874955" w:rsidRDefault="00874955" w:rsidP="00874955">
            <w:pPr>
              <w:pStyle w:val="LFTTabletext"/>
              <w:spacing w:line="20" w:lineRule="atLeast"/>
              <w:jc w:val="center"/>
              <w:rPr>
                <w:szCs w:val="18"/>
              </w:rPr>
            </w:pPr>
            <w:r w:rsidRPr="00874955">
              <w:rPr>
                <w:szCs w:val="18"/>
              </w:rPr>
              <w:t>95.3%</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30FEABFF" w14:textId="77777777" w:rsidR="00874955" w:rsidRPr="00874955" w:rsidRDefault="00874955" w:rsidP="00874955">
            <w:pPr>
              <w:pStyle w:val="LFTTabletext"/>
              <w:spacing w:line="20" w:lineRule="atLeast"/>
              <w:jc w:val="center"/>
              <w:rPr>
                <w:szCs w:val="18"/>
              </w:rPr>
            </w:pPr>
            <w:r w:rsidRPr="00874955">
              <w:rPr>
                <w:szCs w:val="18"/>
              </w:rPr>
              <w:t>50.0%</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3519206B" w14:textId="77777777" w:rsidR="00874955" w:rsidRPr="00874955" w:rsidRDefault="00874955" w:rsidP="00874955">
            <w:pPr>
              <w:pStyle w:val="LFTTabletext"/>
              <w:spacing w:line="20" w:lineRule="atLeast"/>
              <w:jc w:val="center"/>
              <w:rPr>
                <w:szCs w:val="18"/>
              </w:rPr>
            </w:pPr>
            <w:r w:rsidRPr="00874955">
              <w:rPr>
                <w:szCs w:val="18"/>
              </w:rPr>
              <w:t>85.1%</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1FFD66FD" w14:textId="77777777" w:rsidR="00874955" w:rsidRPr="00874955" w:rsidRDefault="00874955" w:rsidP="00874955">
            <w:pPr>
              <w:pStyle w:val="LFTTabletext"/>
              <w:spacing w:line="20" w:lineRule="atLeast"/>
              <w:jc w:val="center"/>
              <w:rPr>
                <w:szCs w:val="18"/>
              </w:rPr>
            </w:pPr>
            <w:r w:rsidRPr="00874955">
              <w:rPr>
                <w:szCs w:val="18"/>
              </w:rPr>
              <w:t>98.9%</w:t>
            </w:r>
          </w:p>
        </w:tc>
        <w:tc>
          <w:tcPr>
            <w:tcW w:w="990" w:type="dxa"/>
            <w:tcBorders>
              <w:top w:val="single" w:sz="4" w:space="0" w:color="auto"/>
              <w:left w:val="single" w:sz="4" w:space="0" w:color="auto"/>
              <w:bottom w:val="single" w:sz="4" w:space="0" w:color="auto"/>
              <w:right w:val="single" w:sz="4" w:space="0" w:color="auto"/>
            </w:tcBorders>
            <w:vAlign w:val="center"/>
          </w:tcPr>
          <w:p w14:paraId="5764C1A3" w14:textId="77777777" w:rsidR="00874955" w:rsidRPr="00874955" w:rsidRDefault="00874955" w:rsidP="00874955">
            <w:pPr>
              <w:pStyle w:val="LFTTabletext"/>
              <w:spacing w:line="20" w:lineRule="atLeast"/>
              <w:jc w:val="center"/>
              <w:rPr>
                <w:szCs w:val="18"/>
              </w:rPr>
            </w:pPr>
            <w:r w:rsidRPr="00874955">
              <w:rPr>
                <w:szCs w:val="18"/>
              </w:rPr>
              <w:t>88.5%</w:t>
            </w:r>
          </w:p>
        </w:tc>
        <w:tc>
          <w:tcPr>
            <w:tcW w:w="990" w:type="dxa"/>
            <w:tcBorders>
              <w:top w:val="single" w:sz="4" w:space="0" w:color="auto"/>
              <w:left w:val="single" w:sz="4" w:space="0" w:color="auto"/>
              <w:bottom w:val="single" w:sz="4" w:space="0" w:color="auto"/>
              <w:right w:val="single" w:sz="4" w:space="0" w:color="auto"/>
            </w:tcBorders>
            <w:vAlign w:val="center"/>
          </w:tcPr>
          <w:p w14:paraId="4F65803A" w14:textId="77777777" w:rsidR="00874955" w:rsidRPr="00874955" w:rsidRDefault="00874955" w:rsidP="00874955">
            <w:pPr>
              <w:pStyle w:val="LFTTabletext"/>
              <w:spacing w:line="20" w:lineRule="atLeast"/>
              <w:jc w:val="center"/>
              <w:rPr>
                <w:szCs w:val="18"/>
              </w:rPr>
            </w:pPr>
            <w:r w:rsidRPr="00874955">
              <w:rPr>
                <w:szCs w:val="18"/>
              </w:rPr>
              <w:t>90.6%</w:t>
            </w:r>
          </w:p>
        </w:tc>
      </w:tr>
      <w:tr w:rsidR="00874955" w:rsidRPr="00874955" w14:paraId="3477E2AB" w14:textId="77777777" w:rsidTr="00874955">
        <w:trPr>
          <w:gridBefore w:val="1"/>
          <w:gridAfter w:val="3"/>
          <w:wBefore w:w="14" w:type="dxa"/>
          <w:wAfter w:w="1890" w:type="dxa"/>
          <w:trHeight w:val="20"/>
        </w:trPr>
        <w:tc>
          <w:tcPr>
            <w:tcW w:w="243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6B2BF8C1" w14:textId="77777777" w:rsidR="00874955" w:rsidRPr="00874955" w:rsidRDefault="00874955" w:rsidP="00874955">
            <w:pPr>
              <w:pStyle w:val="LFTTabletext"/>
              <w:spacing w:line="20" w:lineRule="atLeast"/>
              <w:jc w:val="center"/>
              <w:rPr>
                <w:szCs w:val="18"/>
              </w:rPr>
            </w:pPr>
            <w:r w:rsidRPr="00874955">
              <w:rPr>
                <w:szCs w:val="18"/>
              </w:rPr>
              <w:t>Minimum</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10F2EC1E" w14:textId="77777777" w:rsidR="00874955" w:rsidRPr="00874955" w:rsidRDefault="00874955" w:rsidP="00874955">
            <w:pPr>
              <w:pStyle w:val="LFTTabletext"/>
              <w:spacing w:line="20" w:lineRule="atLeast"/>
              <w:jc w:val="center"/>
              <w:rPr>
                <w:szCs w:val="18"/>
              </w:rPr>
            </w:pPr>
            <w:r w:rsidRPr="00874955">
              <w:rPr>
                <w:szCs w:val="18"/>
              </w:rPr>
              <w:t>&lt;1</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5258F2DE" w14:textId="77777777" w:rsidR="00874955" w:rsidRPr="00874955" w:rsidRDefault="00874955" w:rsidP="00874955">
            <w:pPr>
              <w:pStyle w:val="LFTTabletext"/>
              <w:spacing w:line="20" w:lineRule="atLeast"/>
              <w:jc w:val="center"/>
              <w:rPr>
                <w:szCs w:val="18"/>
              </w:rPr>
            </w:pPr>
            <w:r w:rsidRPr="00874955">
              <w:rPr>
                <w:szCs w:val="18"/>
              </w:rPr>
              <w:t>&lt;0.02</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396A22CA" w14:textId="77777777" w:rsidR="00874955" w:rsidRPr="00874955" w:rsidRDefault="00874955" w:rsidP="00874955">
            <w:pPr>
              <w:pStyle w:val="LFTTabletext"/>
              <w:spacing w:line="20" w:lineRule="atLeast"/>
              <w:jc w:val="center"/>
              <w:rPr>
                <w:szCs w:val="18"/>
              </w:rPr>
            </w:pPr>
            <w:r w:rsidRPr="00874955">
              <w:rPr>
                <w:szCs w:val="18"/>
              </w:rPr>
              <w:t>&lt;1.5</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37C567B0" w14:textId="77777777" w:rsidR="00874955" w:rsidRPr="00874955" w:rsidRDefault="00874955" w:rsidP="00874955">
            <w:pPr>
              <w:pStyle w:val="LFTTabletext"/>
              <w:spacing w:line="20" w:lineRule="atLeast"/>
              <w:jc w:val="center"/>
              <w:rPr>
                <w:szCs w:val="18"/>
              </w:rPr>
            </w:pPr>
            <w:r w:rsidRPr="00874955">
              <w:rPr>
                <w:szCs w:val="18"/>
              </w:rPr>
              <w:t>&lt;2</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2B27AFA5" w14:textId="77777777" w:rsidR="00874955" w:rsidRPr="00874955" w:rsidRDefault="00874955" w:rsidP="00874955">
            <w:pPr>
              <w:pStyle w:val="LFTTabletext"/>
              <w:spacing w:line="20" w:lineRule="atLeast"/>
              <w:jc w:val="center"/>
              <w:rPr>
                <w:szCs w:val="18"/>
              </w:rPr>
            </w:pPr>
            <w:r w:rsidRPr="00874955">
              <w:rPr>
                <w:szCs w:val="18"/>
              </w:rPr>
              <w:t>&lt;0.2</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2C8A0537" w14:textId="77777777" w:rsidR="00874955" w:rsidRPr="00874955" w:rsidRDefault="00874955" w:rsidP="00874955">
            <w:pPr>
              <w:pStyle w:val="LFTTabletext"/>
              <w:spacing w:line="20" w:lineRule="atLeast"/>
              <w:jc w:val="center"/>
              <w:rPr>
                <w:szCs w:val="18"/>
              </w:rPr>
            </w:pPr>
            <w:r w:rsidRPr="00874955">
              <w:rPr>
                <w:szCs w:val="18"/>
              </w:rPr>
              <w:t>&lt;0.5</w:t>
            </w:r>
          </w:p>
        </w:tc>
        <w:tc>
          <w:tcPr>
            <w:tcW w:w="990" w:type="dxa"/>
            <w:tcBorders>
              <w:top w:val="single" w:sz="4" w:space="0" w:color="auto"/>
              <w:left w:val="single" w:sz="4" w:space="0" w:color="auto"/>
              <w:bottom w:val="single" w:sz="4" w:space="0" w:color="auto"/>
              <w:right w:val="single" w:sz="4" w:space="0" w:color="auto"/>
            </w:tcBorders>
            <w:vAlign w:val="center"/>
          </w:tcPr>
          <w:p w14:paraId="45F6D244" w14:textId="77777777" w:rsidR="00874955" w:rsidRPr="00874955" w:rsidRDefault="00874955" w:rsidP="00874955">
            <w:pPr>
              <w:pStyle w:val="LFTTabletext"/>
              <w:spacing w:line="20" w:lineRule="atLeast"/>
              <w:jc w:val="center"/>
              <w:rPr>
                <w:szCs w:val="18"/>
              </w:rPr>
            </w:pPr>
            <w:r w:rsidRPr="00874955">
              <w:rPr>
                <w:szCs w:val="18"/>
              </w:rPr>
              <w:t>&lt;0.5</w:t>
            </w:r>
          </w:p>
        </w:tc>
        <w:tc>
          <w:tcPr>
            <w:tcW w:w="990" w:type="dxa"/>
            <w:tcBorders>
              <w:top w:val="single" w:sz="4" w:space="0" w:color="auto"/>
              <w:left w:val="single" w:sz="4" w:space="0" w:color="auto"/>
              <w:bottom w:val="single" w:sz="4" w:space="0" w:color="auto"/>
              <w:right w:val="single" w:sz="4" w:space="0" w:color="auto"/>
            </w:tcBorders>
            <w:vAlign w:val="center"/>
          </w:tcPr>
          <w:p w14:paraId="28ED58E4" w14:textId="77777777" w:rsidR="00874955" w:rsidRPr="00874955" w:rsidRDefault="00874955" w:rsidP="00874955">
            <w:pPr>
              <w:pStyle w:val="LFTTabletext"/>
              <w:spacing w:line="20" w:lineRule="atLeast"/>
              <w:jc w:val="center"/>
              <w:rPr>
                <w:szCs w:val="18"/>
              </w:rPr>
            </w:pPr>
            <w:r w:rsidRPr="00874955">
              <w:rPr>
                <w:szCs w:val="18"/>
              </w:rPr>
              <w:t>&lt;1</w:t>
            </w:r>
          </w:p>
        </w:tc>
      </w:tr>
      <w:tr w:rsidR="00874955" w:rsidRPr="00874955" w14:paraId="69656CEF" w14:textId="77777777" w:rsidTr="00874955">
        <w:trPr>
          <w:gridBefore w:val="1"/>
          <w:gridAfter w:val="3"/>
          <w:wBefore w:w="14" w:type="dxa"/>
          <w:wAfter w:w="1890" w:type="dxa"/>
          <w:trHeight w:val="20"/>
        </w:trPr>
        <w:tc>
          <w:tcPr>
            <w:tcW w:w="243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763F8AAB" w14:textId="77777777" w:rsidR="00874955" w:rsidRPr="00874955" w:rsidRDefault="00874955" w:rsidP="00874955">
            <w:pPr>
              <w:pStyle w:val="LFTTabletext"/>
              <w:spacing w:line="20" w:lineRule="atLeast"/>
              <w:jc w:val="center"/>
              <w:rPr>
                <w:szCs w:val="18"/>
              </w:rPr>
            </w:pPr>
            <w:r w:rsidRPr="00874955">
              <w:rPr>
                <w:szCs w:val="18"/>
              </w:rPr>
              <w:t>Maximum</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7EB7A612" w14:textId="77777777" w:rsidR="00874955" w:rsidRPr="00874955" w:rsidRDefault="00874955" w:rsidP="00874955">
            <w:pPr>
              <w:pStyle w:val="LFTTabletext"/>
              <w:spacing w:line="20" w:lineRule="atLeast"/>
              <w:jc w:val="center"/>
              <w:rPr>
                <w:szCs w:val="18"/>
              </w:rPr>
            </w:pPr>
            <w:r w:rsidRPr="00874955">
              <w:rPr>
                <w:szCs w:val="18"/>
              </w:rPr>
              <w:t>2,490</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666B0CBA" w14:textId="77777777" w:rsidR="00874955" w:rsidRPr="00874955" w:rsidRDefault="00874955" w:rsidP="00874955">
            <w:pPr>
              <w:pStyle w:val="LFTTabletext"/>
              <w:spacing w:line="20" w:lineRule="atLeast"/>
              <w:jc w:val="center"/>
              <w:rPr>
                <w:szCs w:val="18"/>
              </w:rPr>
            </w:pPr>
            <w:r w:rsidRPr="00874955">
              <w:rPr>
                <w:szCs w:val="18"/>
              </w:rPr>
              <w:t>8.4</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33D43614" w14:textId="77777777" w:rsidR="00874955" w:rsidRPr="00874955" w:rsidRDefault="00874955" w:rsidP="00874955">
            <w:pPr>
              <w:pStyle w:val="LFTTabletext"/>
              <w:spacing w:line="20" w:lineRule="atLeast"/>
              <w:jc w:val="center"/>
              <w:rPr>
                <w:szCs w:val="18"/>
              </w:rPr>
            </w:pPr>
            <w:r w:rsidRPr="00874955">
              <w:rPr>
                <w:szCs w:val="18"/>
              </w:rPr>
              <w:t>15.2</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6F2B766E" w14:textId="77777777" w:rsidR="00874955" w:rsidRPr="00874955" w:rsidRDefault="00874955" w:rsidP="00874955">
            <w:pPr>
              <w:pStyle w:val="LFTTabletext"/>
              <w:spacing w:line="20" w:lineRule="atLeast"/>
              <w:jc w:val="center"/>
              <w:rPr>
                <w:szCs w:val="18"/>
              </w:rPr>
            </w:pPr>
            <w:r w:rsidRPr="00874955">
              <w:rPr>
                <w:szCs w:val="18"/>
              </w:rPr>
              <w:t>7.8</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716B39A4" w14:textId="77777777" w:rsidR="00874955" w:rsidRPr="00874955" w:rsidRDefault="00874955" w:rsidP="00874955">
            <w:pPr>
              <w:pStyle w:val="LFTTabletext"/>
              <w:spacing w:line="20" w:lineRule="atLeast"/>
              <w:jc w:val="center"/>
              <w:rPr>
                <w:szCs w:val="18"/>
              </w:rPr>
            </w:pPr>
            <w:r w:rsidRPr="00874955">
              <w:rPr>
                <w:szCs w:val="18"/>
              </w:rPr>
              <w:t>1,360</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398F4722" w14:textId="77777777" w:rsidR="00874955" w:rsidRPr="00874955" w:rsidRDefault="00874955" w:rsidP="00874955">
            <w:pPr>
              <w:pStyle w:val="LFTTabletext"/>
              <w:spacing w:line="20" w:lineRule="atLeast"/>
              <w:jc w:val="center"/>
              <w:rPr>
                <w:szCs w:val="18"/>
              </w:rPr>
            </w:pPr>
            <w:r w:rsidRPr="00874955">
              <w:rPr>
                <w:szCs w:val="18"/>
              </w:rPr>
              <w:t>8,100</w:t>
            </w:r>
          </w:p>
        </w:tc>
        <w:tc>
          <w:tcPr>
            <w:tcW w:w="990" w:type="dxa"/>
            <w:tcBorders>
              <w:top w:val="single" w:sz="4" w:space="0" w:color="auto"/>
              <w:left w:val="single" w:sz="4" w:space="0" w:color="auto"/>
              <w:bottom w:val="single" w:sz="4" w:space="0" w:color="auto"/>
              <w:right w:val="single" w:sz="4" w:space="0" w:color="auto"/>
            </w:tcBorders>
            <w:vAlign w:val="center"/>
          </w:tcPr>
          <w:p w14:paraId="48A8B53F" w14:textId="77777777" w:rsidR="00874955" w:rsidRPr="00874955" w:rsidRDefault="00874955" w:rsidP="00874955">
            <w:pPr>
              <w:pStyle w:val="LFTTabletext"/>
              <w:spacing w:line="20" w:lineRule="atLeast"/>
              <w:jc w:val="center"/>
              <w:rPr>
                <w:szCs w:val="18"/>
              </w:rPr>
            </w:pPr>
            <w:r w:rsidRPr="00874955">
              <w:rPr>
                <w:szCs w:val="18"/>
              </w:rPr>
              <w:t>12</w:t>
            </w:r>
          </w:p>
        </w:tc>
        <w:tc>
          <w:tcPr>
            <w:tcW w:w="990" w:type="dxa"/>
            <w:tcBorders>
              <w:top w:val="single" w:sz="4" w:space="0" w:color="auto"/>
              <w:left w:val="single" w:sz="4" w:space="0" w:color="auto"/>
              <w:bottom w:val="single" w:sz="4" w:space="0" w:color="auto"/>
              <w:right w:val="single" w:sz="4" w:space="0" w:color="auto"/>
            </w:tcBorders>
            <w:vAlign w:val="center"/>
          </w:tcPr>
          <w:p w14:paraId="0B3E202F" w14:textId="77777777" w:rsidR="00874955" w:rsidRPr="00874955" w:rsidRDefault="00874955" w:rsidP="00874955">
            <w:pPr>
              <w:pStyle w:val="LFTTabletext"/>
              <w:spacing w:line="20" w:lineRule="atLeast"/>
              <w:jc w:val="center"/>
              <w:rPr>
                <w:szCs w:val="18"/>
              </w:rPr>
            </w:pPr>
            <w:r w:rsidRPr="00874955">
              <w:rPr>
                <w:szCs w:val="18"/>
              </w:rPr>
              <w:t>3,6000,000</w:t>
            </w:r>
          </w:p>
        </w:tc>
      </w:tr>
      <w:tr w:rsidR="00874955" w:rsidRPr="00874955" w14:paraId="6B58F7CB" w14:textId="77777777" w:rsidTr="00874955">
        <w:trPr>
          <w:gridBefore w:val="1"/>
          <w:gridAfter w:val="3"/>
          <w:wBefore w:w="14" w:type="dxa"/>
          <w:wAfter w:w="1890" w:type="dxa"/>
          <w:trHeight w:val="20"/>
        </w:trPr>
        <w:tc>
          <w:tcPr>
            <w:tcW w:w="243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73110010" w14:textId="77777777" w:rsidR="00874955" w:rsidRPr="00874955" w:rsidRDefault="00874955" w:rsidP="00874955">
            <w:pPr>
              <w:pStyle w:val="LFTTabletext"/>
              <w:spacing w:line="20" w:lineRule="atLeast"/>
              <w:jc w:val="center"/>
              <w:rPr>
                <w:szCs w:val="18"/>
              </w:rPr>
            </w:pPr>
            <w:r w:rsidRPr="00874955">
              <w:rPr>
                <w:szCs w:val="18"/>
              </w:rPr>
              <w:t>Median</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6E3C4D96" w14:textId="77777777" w:rsidR="00874955" w:rsidRPr="00874955" w:rsidRDefault="00874955" w:rsidP="00874955">
            <w:pPr>
              <w:pStyle w:val="LFTTabletext"/>
              <w:spacing w:line="20" w:lineRule="atLeast"/>
              <w:jc w:val="center"/>
              <w:rPr>
                <w:szCs w:val="18"/>
              </w:rPr>
            </w:pPr>
            <w:r w:rsidRPr="00874955">
              <w:rPr>
                <w:szCs w:val="18"/>
              </w:rPr>
              <w:t>75</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1A79635D" w14:textId="77777777" w:rsidR="00874955" w:rsidRPr="00874955" w:rsidRDefault="00874955" w:rsidP="00874955">
            <w:pPr>
              <w:pStyle w:val="LFTTabletext"/>
              <w:spacing w:line="20" w:lineRule="atLeast"/>
              <w:jc w:val="center"/>
              <w:rPr>
                <w:szCs w:val="18"/>
              </w:rPr>
            </w:pPr>
            <w:r w:rsidRPr="00874955">
              <w:rPr>
                <w:szCs w:val="18"/>
              </w:rPr>
              <w:t>0.68</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3DE5A19B" w14:textId="77777777" w:rsidR="00874955" w:rsidRPr="00874955" w:rsidRDefault="00874955" w:rsidP="00874955">
            <w:pPr>
              <w:pStyle w:val="LFTTabletext"/>
              <w:spacing w:line="20" w:lineRule="atLeast"/>
              <w:jc w:val="center"/>
              <w:rPr>
                <w:szCs w:val="18"/>
              </w:rPr>
            </w:pPr>
            <w:r w:rsidRPr="00874955">
              <w:rPr>
                <w:szCs w:val="18"/>
              </w:rPr>
              <w:t>1.7</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2D758157" w14:textId="77777777" w:rsidR="00874955" w:rsidRPr="00874955" w:rsidRDefault="00874955" w:rsidP="00874955">
            <w:pPr>
              <w:pStyle w:val="LFTTabletext"/>
              <w:spacing w:line="20" w:lineRule="atLeast"/>
              <w:jc w:val="center"/>
              <w:rPr>
                <w:szCs w:val="18"/>
              </w:rPr>
            </w:pPr>
            <w:r w:rsidRPr="00874955">
              <w:rPr>
                <w:szCs w:val="18"/>
              </w:rPr>
              <w:t>6</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0FEFABC4" w14:textId="77777777" w:rsidR="00874955" w:rsidRPr="00874955" w:rsidRDefault="00874955" w:rsidP="00874955">
            <w:pPr>
              <w:pStyle w:val="LFTTabletext"/>
              <w:spacing w:line="20" w:lineRule="atLeast"/>
              <w:jc w:val="center"/>
              <w:rPr>
                <w:szCs w:val="18"/>
              </w:rPr>
            </w:pPr>
            <w:r w:rsidRPr="00874955">
              <w:rPr>
                <w:szCs w:val="18"/>
              </w:rPr>
              <w:t>19</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789D4AC7" w14:textId="77777777" w:rsidR="00874955" w:rsidRPr="00874955" w:rsidRDefault="00874955" w:rsidP="00874955">
            <w:pPr>
              <w:pStyle w:val="LFTTabletext"/>
              <w:spacing w:line="20" w:lineRule="atLeast"/>
              <w:jc w:val="center"/>
              <w:rPr>
                <w:szCs w:val="18"/>
              </w:rPr>
            </w:pPr>
            <w:r w:rsidRPr="00874955">
              <w:rPr>
                <w:szCs w:val="18"/>
              </w:rPr>
              <w:t>155</w:t>
            </w:r>
          </w:p>
        </w:tc>
        <w:tc>
          <w:tcPr>
            <w:tcW w:w="990" w:type="dxa"/>
            <w:tcBorders>
              <w:top w:val="single" w:sz="4" w:space="0" w:color="auto"/>
              <w:left w:val="single" w:sz="4" w:space="0" w:color="auto"/>
              <w:bottom w:val="single" w:sz="4" w:space="0" w:color="auto"/>
              <w:right w:val="single" w:sz="4" w:space="0" w:color="auto"/>
            </w:tcBorders>
            <w:vAlign w:val="center"/>
          </w:tcPr>
          <w:p w14:paraId="454AA68F" w14:textId="77777777" w:rsidR="00874955" w:rsidRPr="00874955" w:rsidRDefault="00874955" w:rsidP="00874955">
            <w:pPr>
              <w:pStyle w:val="LFTTabletext"/>
              <w:spacing w:line="20" w:lineRule="atLeast"/>
              <w:jc w:val="center"/>
              <w:rPr>
                <w:szCs w:val="18"/>
              </w:rPr>
            </w:pPr>
            <w:r w:rsidRPr="00874955">
              <w:rPr>
                <w:szCs w:val="18"/>
              </w:rPr>
              <w:t>3</w:t>
            </w:r>
          </w:p>
        </w:tc>
        <w:tc>
          <w:tcPr>
            <w:tcW w:w="990" w:type="dxa"/>
            <w:tcBorders>
              <w:top w:val="single" w:sz="4" w:space="0" w:color="auto"/>
              <w:left w:val="single" w:sz="4" w:space="0" w:color="auto"/>
              <w:bottom w:val="single" w:sz="4" w:space="0" w:color="auto"/>
              <w:right w:val="single" w:sz="4" w:space="0" w:color="auto"/>
            </w:tcBorders>
            <w:vAlign w:val="center"/>
          </w:tcPr>
          <w:p w14:paraId="5BE495F0" w14:textId="77777777" w:rsidR="00874955" w:rsidRPr="00874955" w:rsidRDefault="00874955" w:rsidP="00874955">
            <w:pPr>
              <w:pStyle w:val="LFTTabletext"/>
              <w:spacing w:line="20" w:lineRule="atLeast"/>
              <w:jc w:val="center"/>
              <w:rPr>
                <w:szCs w:val="18"/>
              </w:rPr>
            </w:pPr>
            <w:r w:rsidRPr="00874955">
              <w:rPr>
                <w:szCs w:val="18"/>
              </w:rPr>
              <w:t>3,950</w:t>
            </w:r>
          </w:p>
        </w:tc>
      </w:tr>
      <w:tr w:rsidR="00874955" w:rsidRPr="00874955" w14:paraId="69D1DFFA" w14:textId="77777777" w:rsidTr="00874955">
        <w:trPr>
          <w:gridBefore w:val="1"/>
          <w:gridAfter w:val="3"/>
          <w:wBefore w:w="14" w:type="dxa"/>
          <w:wAfter w:w="1890" w:type="dxa"/>
          <w:trHeight w:val="20"/>
        </w:trPr>
        <w:tc>
          <w:tcPr>
            <w:tcW w:w="2430" w:type="dxa"/>
            <w:tcBorders>
              <w:top w:val="single" w:sz="4" w:space="0" w:color="auto"/>
              <w:left w:val="single" w:sz="4" w:space="0" w:color="auto"/>
              <w:bottom w:val="single" w:sz="4" w:space="0" w:color="auto"/>
            </w:tcBorders>
            <w:shd w:val="clear" w:color="auto" w:fill="9CCEF0" w:themeFill="accent4" w:themeFillShade="E6"/>
            <w:noWrap/>
            <w:tcMar>
              <w:top w:w="17" w:type="dxa"/>
              <w:left w:w="17" w:type="dxa"/>
              <w:bottom w:w="0" w:type="dxa"/>
              <w:right w:w="17" w:type="dxa"/>
            </w:tcMar>
            <w:vAlign w:val="center"/>
          </w:tcPr>
          <w:p w14:paraId="4F271E42" w14:textId="77777777" w:rsidR="00874955" w:rsidRPr="00874955" w:rsidRDefault="00874955" w:rsidP="00874955">
            <w:pPr>
              <w:pStyle w:val="LFTTabletext"/>
              <w:spacing w:line="20" w:lineRule="atLeast"/>
              <w:jc w:val="center"/>
              <w:rPr>
                <w:szCs w:val="18"/>
              </w:rPr>
            </w:pPr>
            <w:r w:rsidRPr="00874955">
              <w:rPr>
                <w:szCs w:val="18"/>
              </w:rPr>
              <w:t>Intuitional</w:t>
            </w:r>
            <w:r w:rsidRPr="00874955">
              <w:rPr>
                <w:bCs w:val="0"/>
                <w:szCs w:val="18"/>
                <w:vertAlign w:val="superscript"/>
              </w:rPr>
              <w:t>1</w:t>
            </w:r>
          </w:p>
        </w:tc>
        <w:tc>
          <w:tcPr>
            <w:tcW w:w="810" w:type="dxa"/>
            <w:tcBorders>
              <w:top w:val="single" w:sz="4" w:space="0" w:color="auto"/>
              <w:bottom w:val="single" w:sz="4" w:space="0" w:color="auto"/>
            </w:tcBorders>
            <w:shd w:val="clear" w:color="auto" w:fill="9CCEF0" w:themeFill="accent4" w:themeFillShade="E6"/>
            <w:noWrap/>
            <w:tcMar>
              <w:top w:w="17" w:type="dxa"/>
              <w:left w:w="17" w:type="dxa"/>
              <w:bottom w:w="0" w:type="dxa"/>
              <w:right w:w="17" w:type="dxa"/>
            </w:tcMar>
            <w:vAlign w:val="center"/>
          </w:tcPr>
          <w:p w14:paraId="2AC09907" w14:textId="77777777" w:rsidR="00874955" w:rsidRPr="00874955" w:rsidRDefault="00874955" w:rsidP="00874955">
            <w:pPr>
              <w:pStyle w:val="LFTTabletext"/>
              <w:spacing w:line="20" w:lineRule="atLeast"/>
              <w:jc w:val="center"/>
              <w:rPr>
                <w:szCs w:val="18"/>
              </w:rPr>
            </w:pPr>
          </w:p>
        </w:tc>
        <w:tc>
          <w:tcPr>
            <w:tcW w:w="810" w:type="dxa"/>
            <w:tcBorders>
              <w:top w:val="single" w:sz="4" w:space="0" w:color="auto"/>
              <w:bottom w:val="single" w:sz="4" w:space="0" w:color="auto"/>
            </w:tcBorders>
            <w:shd w:val="clear" w:color="auto" w:fill="9CCEF0" w:themeFill="accent4" w:themeFillShade="E6"/>
            <w:noWrap/>
            <w:tcMar>
              <w:top w:w="17" w:type="dxa"/>
              <w:left w:w="17" w:type="dxa"/>
              <w:bottom w:w="0" w:type="dxa"/>
              <w:right w:w="17" w:type="dxa"/>
            </w:tcMar>
            <w:vAlign w:val="center"/>
          </w:tcPr>
          <w:p w14:paraId="39BB6D39" w14:textId="77777777" w:rsidR="00874955" w:rsidRPr="00874955" w:rsidRDefault="00874955" w:rsidP="00874955">
            <w:pPr>
              <w:pStyle w:val="LFTTabletext"/>
              <w:spacing w:line="20" w:lineRule="atLeast"/>
              <w:jc w:val="center"/>
              <w:rPr>
                <w:szCs w:val="18"/>
              </w:rPr>
            </w:pPr>
          </w:p>
        </w:tc>
        <w:tc>
          <w:tcPr>
            <w:tcW w:w="900" w:type="dxa"/>
            <w:tcBorders>
              <w:top w:val="single" w:sz="4" w:space="0" w:color="auto"/>
              <w:bottom w:val="single" w:sz="4" w:space="0" w:color="auto"/>
            </w:tcBorders>
            <w:shd w:val="clear" w:color="auto" w:fill="9CCEF0" w:themeFill="accent4" w:themeFillShade="E6"/>
            <w:noWrap/>
            <w:tcMar>
              <w:top w:w="17" w:type="dxa"/>
              <w:left w:w="17" w:type="dxa"/>
              <w:bottom w:w="0" w:type="dxa"/>
              <w:right w:w="17" w:type="dxa"/>
            </w:tcMar>
            <w:vAlign w:val="center"/>
          </w:tcPr>
          <w:p w14:paraId="6659E8B7" w14:textId="77777777" w:rsidR="00874955" w:rsidRPr="00874955" w:rsidRDefault="00874955" w:rsidP="00874955">
            <w:pPr>
              <w:pStyle w:val="LFTTabletext"/>
              <w:spacing w:line="20" w:lineRule="atLeast"/>
              <w:jc w:val="center"/>
              <w:rPr>
                <w:szCs w:val="18"/>
              </w:rPr>
            </w:pPr>
          </w:p>
        </w:tc>
        <w:tc>
          <w:tcPr>
            <w:tcW w:w="900" w:type="dxa"/>
            <w:tcBorders>
              <w:top w:val="single" w:sz="4" w:space="0" w:color="auto"/>
              <w:bottom w:val="single" w:sz="4" w:space="0" w:color="auto"/>
            </w:tcBorders>
            <w:shd w:val="clear" w:color="auto" w:fill="9CCEF0" w:themeFill="accent4" w:themeFillShade="E6"/>
            <w:noWrap/>
            <w:tcMar>
              <w:top w:w="17" w:type="dxa"/>
              <w:left w:w="17" w:type="dxa"/>
              <w:bottom w:w="0" w:type="dxa"/>
              <w:right w:w="17" w:type="dxa"/>
            </w:tcMar>
            <w:vAlign w:val="center"/>
          </w:tcPr>
          <w:p w14:paraId="2241997C" w14:textId="77777777" w:rsidR="00874955" w:rsidRPr="00874955" w:rsidRDefault="00874955" w:rsidP="00874955">
            <w:pPr>
              <w:pStyle w:val="LFTTabletext"/>
              <w:spacing w:line="20" w:lineRule="atLeast"/>
              <w:jc w:val="center"/>
              <w:rPr>
                <w:szCs w:val="18"/>
              </w:rPr>
            </w:pPr>
          </w:p>
        </w:tc>
        <w:tc>
          <w:tcPr>
            <w:tcW w:w="900" w:type="dxa"/>
            <w:tcBorders>
              <w:top w:val="single" w:sz="4" w:space="0" w:color="auto"/>
              <w:bottom w:val="single" w:sz="4" w:space="0" w:color="auto"/>
            </w:tcBorders>
            <w:shd w:val="clear" w:color="auto" w:fill="9CCEF0" w:themeFill="accent4" w:themeFillShade="E6"/>
            <w:noWrap/>
            <w:tcMar>
              <w:top w:w="17" w:type="dxa"/>
              <w:left w:w="17" w:type="dxa"/>
              <w:bottom w:w="0" w:type="dxa"/>
              <w:right w:w="17" w:type="dxa"/>
            </w:tcMar>
            <w:vAlign w:val="center"/>
          </w:tcPr>
          <w:p w14:paraId="49A9FE31" w14:textId="77777777" w:rsidR="00874955" w:rsidRPr="00874955" w:rsidRDefault="00874955" w:rsidP="00874955">
            <w:pPr>
              <w:pStyle w:val="LFTTabletext"/>
              <w:spacing w:line="20" w:lineRule="atLeast"/>
              <w:jc w:val="center"/>
              <w:rPr>
                <w:szCs w:val="18"/>
              </w:rPr>
            </w:pPr>
          </w:p>
        </w:tc>
        <w:tc>
          <w:tcPr>
            <w:tcW w:w="900" w:type="dxa"/>
            <w:tcBorders>
              <w:top w:val="single" w:sz="4" w:space="0" w:color="auto"/>
              <w:bottom w:val="single" w:sz="4" w:space="0" w:color="auto"/>
            </w:tcBorders>
            <w:shd w:val="clear" w:color="auto" w:fill="9CCEF0" w:themeFill="accent4" w:themeFillShade="E6"/>
            <w:noWrap/>
            <w:tcMar>
              <w:top w:w="17" w:type="dxa"/>
              <w:left w:w="17" w:type="dxa"/>
              <w:bottom w:w="0" w:type="dxa"/>
              <w:right w:w="17" w:type="dxa"/>
            </w:tcMar>
            <w:vAlign w:val="center"/>
          </w:tcPr>
          <w:p w14:paraId="198976F8" w14:textId="77777777" w:rsidR="00874955" w:rsidRPr="00874955" w:rsidRDefault="00874955" w:rsidP="00874955">
            <w:pPr>
              <w:pStyle w:val="LFTTabletext"/>
              <w:spacing w:line="20" w:lineRule="atLeast"/>
              <w:jc w:val="center"/>
              <w:rPr>
                <w:szCs w:val="18"/>
                <w:highlight w:val="green"/>
              </w:rPr>
            </w:pPr>
          </w:p>
        </w:tc>
        <w:tc>
          <w:tcPr>
            <w:tcW w:w="990" w:type="dxa"/>
            <w:tcBorders>
              <w:top w:val="single" w:sz="4" w:space="0" w:color="auto"/>
              <w:bottom w:val="single" w:sz="4" w:space="0" w:color="auto"/>
              <w:right w:val="single" w:sz="4" w:space="0" w:color="auto"/>
            </w:tcBorders>
            <w:shd w:val="clear" w:color="auto" w:fill="9CCEF0" w:themeFill="accent4" w:themeFillShade="E6"/>
            <w:vAlign w:val="center"/>
          </w:tcPr>
          <w:p w14:paraId="49A5C16A" w14:textId="77777777" w:rsidR="00874955" w:rsidRPr="00874955" w:rsidRDefault="00874955" w:rsidP="00874955">
            <w:pPr>
              <w:pStyle w:val="LFTTabletext"/>
              <w:spacing w:line="20" w:lineRule="atLeast"/>
              <w:jc w:val="center"/>
              <w:rPr>
                <w:szCs w:val="18"/>
              </w:rPr>
            </w:pPr>
          </w:p>
        </w:tc>
        <w:tc>
          <w:tcPr>
            <w:tcW w:w="990" w:type="dxa"/>
            <w:tcBorders>
              <w:top w:val="single" w:sz="4" w:space="0" w:color="auto"/>
              <w:bottom w:val="single" w:sz="4" w:space="0" w:color="auto"/>
              <w:right w:val="single" w:sz="4" w:space="0" w:color="auto"/>
            </w:tcBorders>
            <w:shd w:val="clear" w:color="auto" w:fill="9CCEF0" w:themeFill="accent4" w:themeFillShade="E6"/>
            <w:vAlign w:val="center"/>
          </w:tcPr>
          <w:p w14:paraId="76F9D79F" w14:textId="77777777" w:rsidR="00874955" w:rsidRPr="00874955" w:rsidRDefault="00874955" w:rsidP="00874955">
            <w:pPr>
              <w:pStyle w:val="LFTTabletext"/>
              <w:spacing w:line="20" w:lineRule="atLeast"/>
              <w:jc w:val="center"/>
              <w:rPr>
                <w:szCs w:val="18"/>
              </w:rPr>
            </w:pPr>
          </w:p>
        </w:tc>
      </w:tr>
      <w:tr w:rsidR="00874955" w:rsidRPr="00874955" w14:paraId="00F90665" w14:textId="77777777" w:rsidTr="00874955">
        <w:trPr>
          <w:gridAfter w:val="3"/>
          <w:wAfter w:w="189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38A6558" w14:textId="77777777" w:rsidR="00874955" w:rsidRPr="00874955" w:rsidRDefault="00874955" w:rsidP="00874955">
            <w:pPr>
              <w:pStyle w:val="LFTTabletext"/>
              <w:spacing w:line="20" w:lineRule="atLeast"/>
              <w:jc w:val="center"/>
              <w:rPr>
                <w:szCs w:val="18"/>
              </w:rPr>
            </w:pPr>
            <w:r w:rsidRPr="00874955">
              <w:rPr>
                <w:szCs w:val="18"/>
              </w:rPr>
              <w:t>Number of sites</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F5EAD8B" w14:textId="77777777" w:rsidR="00874955" w:rsidRPr="00874955" w:rsidRDefault="00874955" w:rsidP="00874955">
            <w:pPr>
              <w:pStyle w:val="LFTTabletext"/>
              <w:spacing w:line="20" w:lineRule="atLeast"/>
              <w:jc w:val="center"/>
              <w:rPr>
                <w:szCs w:val="18"/>
              </w:rPr>
            </w:pPr>
            <w:r w:rsidRPr="00874955">
              <w:rPr>
                <w:szCs w:val="18"/>
              </w:rPr>
              <w:t>3</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E349FC3" w14:textId="77777777" w:rsidR="00874955" w:rsidRPr="00874955" w:rsidRDefault="00874955" w:rsidP="00874955">
            <w:pPr>
              <w:pStyle w:val="LFTTabletext"/>
              <w:spacing w:line="20" w:lineRule="atLeast"/>
              <w:jc w:val="center"/>
              <w:rPr>
                <w:szCs w:val="18"/>
              </w:rPr>
            </w:pPr>
            <w:r w:rsidRPr="00874955">
              <w:rPr>
                <w:szCs w:val="18"/>
              </w:rPr>
              <w:t>1</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3E1D5C1" w14:textId="77777777" w:rsidR="00874955" w:rsidRPr="00874955" w:rsidRDefault="00874955" w:rsidP="00874955">
            <w:pPr>
              <w:pStyle w:val="LFTTabletext"/>
              <w:spacing w:line="20" w:lineRule="atLeast"/>
              <w:jc w:val="center"/>
              <w:rPr>
                <w:szCs w:val="18"/>
              </w:rPr>
            </w:pPr>
            <w:r w:rsidRPr="00874955">
              <w:rPr>
                <w:szCs w:val="18"/>
              </w:rPr>
              <w:t>3</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9D225C2"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DFF3262" w14:textId="77777777" w:rsidR="00874955" w:rsidRPr="00874955" w:rsidRDefault="00874955" w:rsidP="00874955">
            <w:pPr>
              <w:pStyle w:val="LFTTabletext"/>
              <w:spacing w:line="20" w:lineRule="atLeast"/>
              <w:jc w:val="center"/>
              <w:rPr>
                <w:szCs w:val="18"/>
              </w:rPr>
            </w:pPr>
            <w:r w:rsidRPr="00874955">
              <w:rPr>
                <w:szCs w:val="18"/>
              </w:rPr>
              <w:t>3</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23CA834" w14:textId="77777777" w:rsidR="00874955" w:rsidRPr="00874955" w:rsidRDefault="00874955" w:rsidP="00874955">
            <w:pPr>
              <w:pStyle w:val="LFTTabletext"/>
              <w:spacing w:line="20" w:lineRule="atLeast"/>
              <w:jc w:val="center"/>
              <w:rPr>
                <w:szCs w:val="18"/>
              </w:rPr>
            </w:pPr>
            <w:r w:rsidRPr="00874955">
              <w:rPr>
                <w:szCs w:val="18"/>
              </w:rPr>
              <w:t>3</w:t>
            </w:r>
          </w:p>
        </w:tc>
        <w:tc>
          <w:tcPr>
            <w:tcW w:w="990" w:type="dxa"/>
            <w:tcBorders>
              <w:top w:val="single" w:sz="4" w:space="0" w:color="auto"/>
              <w:left w:val="single" w:sz="4" w:space="0" w:color="auto"/>
              <w:bottom w:val="single" w:sz="4" w:space="0" w:color="auto"/>
              <w:right w:val="single" w:sz="4" w:space="0" w:color="auto"/>
            </w:tcBorders>
            <w:vAlign w:val="center"/>
          </w:tcPr>
          <w:p w14:paraId="5C0D9B1F" w14:textId="77777777" w:rsidR="00874955" w:rsidRPr="00874955" w:rsidRDefault="00874955" w:rsidP="00874955">
            <w:pPr>
              <w:pStyle w:val="LFTTabletext"/>
              <w:spacing w:line="20" w:lineRule="atLeast"/>
              <w:jc w:val="center"/>
              <w:rPr>
                <w:szCs w:val="18"/>
              </w:rPr>
            </w:pPr>
            <w:r w:rsidRPr="00874955">
              <w:rPr>
                <w:szCs w:val="18"/>
              </w:rPr>
              <w:t>--</w:t>
            </w:r>
          </w:p>
        </w:tc>
        <w:tc>
          <w:tcPr>
            <w:tcW w:w="990" w:type="dxa"/>
            <w:tcBorders>
              <w:top w:val="single" w:sz="4" w:space="0" w:color="auto"/>
              <w:left w:val="single" w:sz="4" w:space="0" w:color="auto"/>
              <w:bottom w:val="single" w:sz="4" w:space="0" w:color="auto"/>
              <w:right w:val="single" w:sz="4" w:space="0" w:color="auto"/>
            </w:tcBorders>
            <w:vAlign w:val="center"/>
          </w:tcPr>
          <w:p w14:paraId="1104D200" w14:textId="77777777" w:rsidR="00874955" w:rsidRPr="00874955" w:rsidRDefault="00874955" w:rsidP="00874955">
            <w:pPr>
              <w:pStyle w:val="LFTTabletext"/>
              <w:spacing w:line="20" w:lineRule="atLeast"/>
              <w:jc w:val="center"/>
              <w:rPr>
                <w:szCs w:val="18"/>
              </w:rPr>
            </w:pPr>
            <w:r w:rsidRPr="00874955">
              <w:rPr>
                <w:szCs w:val="18"/>
              </w:rPr>
              <w:t>1</w:t>
            </w:r>
          </w:p>
        </w:tc>
      </w:tr>
      <w:tr w:rsidR="00874955" w:rsidRPr="00874955" w14:paraId="321A75C4" w14:textId="77777777" w:rsidTr="00874955">
        <w:trPr>
          <w:gridAfter w:val="3"/>
          <w:wAfter w:w="189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C77139A" w14:textId="77777777" w:rsidR="00874955" w:rsidRPr="00874955" w:rsidRDefault="00874955" w:rsidP="00874955">
            <w:pPr>
              <w:pStyle w:val="LFTTabletext"/>
              <w:spacing w:line="20" w:lineRule="atLeast"/>
              <w:jc w:val="center"/>
              <w:rPr>
                <w:szCs w:val="18"/>
              </w:rPr>
            </w:pPr>
            <w:r w:rsidRPr="00874955">
              <w:rPr>
                <w:szCs w:val="18"/>
              </w:rPr>
              <w:t>Number of observations</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F37DCA8" w14:textId="77777777" w:rsidR="00874955" w:rsidRPr="00874955" w:rsidRDefault="00874955" w:rsidP="00874955">
            <w:pPr>
              <w:pStyle w:val="LFTTabletext"/>
              <w:spacing w:line="20" w:lineRule="atLeast"/>
              <w:jc w:val="center"/>
              <w:rPr>
                <w:szCs w:val="18"/>
              </w:rPr>
            </w:pPr>
            <w:r w:rsidRPr="00874955">
              <w:rPr>
                <w:szCs w:val="18"/>
              </w:rPr>
              <w:t>53</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D18D2A8" w14:textId="77777777" w:rsidR="00874955" w:rsidRPr="00874955" w:rsidRDefault="00874955" w:rsidP="00874955">
            <w:pPr>
              <w:pStyle w:val="LFTTabletext"/>
              <w:spacing w:line="20" w:lineRule="atLeast"/>
              <w:jc w:val="center"/>
              <w:rPr>
                <w:szCs w:val="18"/>
              </w:rPr>
            </w:pPr>
            <w:r w:rsidRPr="00874955">
              <w:rPr>
                <w:szCs w:val="18"/>
              </w:rPr>
              <w:t>7</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C561E4C" w14:textId="77777777" w:rsidR="00874955" w:rsidRPr="00874955" w:rsidRDefault="00874955" w:rsidP="00874955">
            <w:pPr>
              <w:pStyle w:val="LFTTabletext"/>
              <w:spacing w:line="20" w:lineRule="atLeast"/>
              <w:jc w:val="center"/>
              <w:rPr>
                <w:szCs w:val="18"/>
              </w:rPr>
            </w:pPr>
            <w:r w:rsidRPr="00874955">
              <w:rPr>
                <w:szCs w:val="18"/>
              </w:rPr>
              <w:t>53</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ED503FA"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D067AC4" w14:textId="77777777" w:rsidR="00874955" w:rsidRPr="00874955" w:rsidRDefault="00874955" w:rsidP="00874955">
            <w:pPr>
              <w:pStyle w:val="LFTTabletext"/>
              <w:spacing w:line="20" w:lineRule="atLeast"/>
              <w:jc w:val="center"/>
              <w:rPr>
                <w:szCs w:val="18"/>
              </w:rPr>
            </w:pPr>
            <w:r w:rsidRPr="00874955">
              <w:rPr>
                <w:szCs w:val="18"/>
              </w:rPr>
              <w:t>53</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CA08F16" w14:textId="77777777" w:rsidR="00874955" w:rsidRPr="00874955" w:rsidRDefault="00874955" w:rsidP="00874955">
            <w:pPr>
              <w:pStyle w:val="LFTTabletext"/>
              <w:spacing w:line="20" w:lineRule="atLeast"/>
              <w:jc w:val="center"/>
              <w:rPr>
                <w:szCs w:val="18"/>
              </w:rPr>
            </w:pPr>
            <w:r w:rsidRPr="00874955">
              <w:rPr>
                <w:szCs w:val="18"/>
              </w:rPr>
              <w:t>53</w:t>
            </w:r>
          </w:p>
        </w:tc>
        <w:tc>
          <w:tcPr>
            <w:tcW w:w="990" w:type="dxa"/>
            <w:tcBorders>
              <w:top w:val="single" w:sz="4" w:space="0" w:color="auto"/>
              <w:left w:val="single" w:sz="4" w:space="0" w:color="auto"/>
              <w:bottom w:val="single" w:sz="4" w:space="0" w:color="auto"/>
              <w:right w:val="single" w:sz="4" w:space="0" w:color="auto"/>
            </w:tcBorders>
            <w:vAlign w:val="center"/>
          </w:tcPr>
          <w:p w14:paraId="669E2FAF" w14:textId="77777777" w:rsidR="00874955" w:rsidRPr="00874955" w:rsidRDefault="00874955" w:rsidP="00874955">
            <w:pPr>
              <w:pStyle w:val="LFTTabletext"/>
              <w:spacing w:line="20" w:lineRule="atLeast"/>
              <w:jc w:val="center"/>
              <w:rPr>
                <w:szCs w:val="18"/>
              </w:rPr>
            </w:pPr>
            <w:r w:rsidRPr="00874955">
              <w:rPr>
                <w:szCs w:val="18"/>
              </w:rPr>
              <w:t>--</w:t>
            </w:r>
          </w:p>
        </w:tc>
        <w:tc>
          <w:tcPr>
            <w:tcW w:w="990" w:type="dxa"/>
            <w:tcBorders>
              <w:top w:val="single" w:sz="4" w:space="0" w:color="auto"/>
              <w:left w:val="single" w:sz="4" w:space="0" w:color="auto"/>
              <w:bottom w:val="single" w:sz="4" w:space="0" w:color="auto"/>
              <w:right w:val="single" w:sz="4" w:space="0" w:color="auto"/>
            </w:tcBorders>
            <w:vAlign w:val="center"/>
          </w:tcPr>
          <w:p w14:paraId="5D982D9B" w14:textId="77777777" w:rsidR="00874955" w:rsidRPr="00874955" w:rsidRDefault="00874955" w:rsidP="00874955">
            <w:pPr>
              <w:pStyle w:val="LFTTabletext"/>
              <w:spacing w:line="20" w:lineRule="atLeast"/>
              <w:jc w:val="center"/>
              <w:rPr>
                <w:szCs w:val="18"/>
              </w:rPr>
            </w:pPr>
            <w:r w:rsidRPr="00874955">
              <w:rPr>
                <w:szCs w:val="18"/>
              </w:rPr>
              <w:t>3</w:t>
            </w:r>
          </w:p>
        </w:tc>
      </w:tr>
      <w:tr w:rsidR="00874955" w:rsidRPr="00874955" w14:paraId="1A59D45F" w14:textId="77777777" w:rsidTr="00874955">
        <w:trPr>
          <w:gridAfter w:val="3"/>
          <w:wAfter w:w="189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C24AD9B" w14:textId="77777777" w:rsidR="00874955" w:rsidRPr="00874955" w:rsidRDefault="00874955" w:rsidP="00874955">
            <w:pPr>
              <w:pStyle w:val="LFTTabletext"/>
              <w:spacing w:line="20" w:lineRule="atLeast"/>
              <w:jc w:val="center"/>
              <w:rPr>
                <w:szCs w:val="18"/>
              </w:rPr>
            </w:pPr>
            <w:r w:rsidRPr="00874955">
              <w:rPr>
                <w:szCs w:val="18"/>
              </w:rPr>
              <w:t>% of samples above the detection limit</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624DF22" w14:textId="77777777" w:rsidR="00874955" w:rsidRPr="00874955" w:rsidRDefault="00874955" w:rsidP="00874955">
            <w:pPr>
              <w:pStyle w:val="LFTTabletext"/>
              <w:spacing w:line="20" w:lineRule="atLeast"/>
              <w:jc w:val="center"/>
              <w:rPr>
                <w:szCs w:val="18"/>
              </w:rPr>
            </w:pPr>
            <w:r w:rsidRPr="00874955">
              <w:rPr>
                <w:szCs w:val="18"/>
              </w:rPr>
              <w:t>98.1%</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F9114A9" w14:textId="77777777" w:rsidR="00874955" w:rsidRPr="00874955" w:rsidRDefault="00874955" w:rsidP="00874955">
            <w:pPr>
              <w:pStyle w:val="LFTTabletext"/>
              <w:spacing w:line="20" w:lineRule="atLeast"/>
              <w:jc w:val="center"/>
              <w:rPr>
                <w:szCs w:val="18"/>
              </w:rPr>
            </w:pPr>
            <w:r w:rsidRPr="00874955">
              <w:rPr>
                <w:szCs w:val="18"/>
              </w:rPr>
              <w:t>100%</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BD27427" w14:textId="77777777" w:rsidR="00874955" w:rsidRPr="00874955" w:rsidRDefault="00874955" w:rsidP="00874955">
            <w:pPr>
              <w:pStyle w:val="LFTTabletext"/>
              <w:spacing w:line="20" w:lineRule="atLeast"/>
              <w:jc w:val="center"/>
              <w:rPr>
                <w:szCs w:val="18"/>
              </w:rPr>
            </w:pPr>
            <w:r w:rsidRPr="00874955">
              <w:rPr>
                <w:szCs w:val="18"/>
              </w:rPr>
              <w:t>98.1%</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3BEF76E"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026E2CB" w14:textId="77777777" w:rsidR="00874955" w:rsidRPr="00874955" w:rsidRDefault="00874955" w:rsidP="00874955">
            <w:pPr>
              <w:pStyle w:val="LFTTabletext"/>
              <w:spacing w:line="20" w:lineRule="atLeast"/>
              <w:jc w:val="center"/>
              <w:rPr>
                <w:szCs w:val="18"/>
              </w:rPr>
            </w:pPr>
            <w:r w:rsidRPr="00874955">
              <w:rPr>
                <w:szCs w:val="18"/>
              </w:rPr>
              <w:t>79.2%</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ED7698C" w14:textId="77777777" w:rsidR="00874955" w:rsidRPr="00874955" w:rsidRDefault="00874955" w:rsidP="00874955">
            <w:pPr>
              <w:pStyle w:val="LFTTabletext"/>
              <w:spacing w:line="20" w:lineRule="atLeast"/>
              <w:jc w:val="center"/>
              <w:rPr>
                <w:szCs w:val="18"/>
              </w:rPr>
            </w:pPr>
            <w:r w:rsidRPr="00874955">
              <w:rPr>
                <w:szCs w:val="18"/>
              </w:rPr>
              <w:t>100%</w:t>
            </w:r>
          </w:p>
        </w:tc>
        <w:tc>
          <w:tcPr>
            <w:tcW w:w="990" w:type="dxa"/>
            <w:tcBorders>
              <w:top w:val="single" w:sz="4" w:space="0" w:color="auto"/>
              <w:left w:val="single" w:sz="4" w:space="0" w:color="auto"/>
              <w:bottom w:val="single" w:sz="4" w:space="0" w:color="auto"/>
              <w:right w:val="single" w:sz="4" w:space="0" w:color="auto"/>
            </w:tcBorders>
            <w:vAlign w:val="center"/>
          </w:tcPr>
          <w:p w14:paraId="28F91DF7" w14:textId="77777777" w:rsidR="00874955" w:rsidRPr="00874955" w:rsidRDefault="00874955" w:rsidP="00874955">
            <w:pPr>
              <w:pStyle w:val="LFTTabletext"/>
              <w:spacing w:line="20" w:lineRule="atLeast"/>
              <w:jc w:val="center"/>
              <w:rPr>
                <w:szCs w:val="18"/>
              </w:rPr>
            </w:pPr>
            <w:r w:rsidRPr="00874955">
              <w:rPr>
                <w:szCs w:val="18"/>
              </w:rPr>
              <w:t>--</w:t>
            </w:r>
          </w:p>
        </w:tc>
        <w:tc>
          <w:tcPr>
            <w:tcW w:w="990" w:type="dxa"/>
            <w:tcBorders>
              <w:top w:val="single" w:sz="4" w:space="0" w:color="auto"/>
              <w:left w:val="single" w:sz="4" w:space="0" w:color="auto"/>
              <w:bottom w:val="single" w:sz="4" w:space="0" w:color="auto"/>
              <w:right w:val="single" w:sz="4" w:space="0" w:color="auto"/>
            </w:tcBorders>
            <w:vAlign w:val="center"/>
          </w:tcPr>
          <w:p w14:paraId="77FF5B2D" w14:textId="77777777" w:rsidR="00874955" w:rsidRPr="00874955" w:rsidRDefault="00874955" w:rsidP="00874955">
            <w:pPr>
              <w:pStyle w:val="LFTTabletext"/>
              <w:spacing w:line="20" w:lineRule="atLeast"/>
              <w:jc w:val="center"/>
              <w:rPr>
                <w:szCs w:val="18"/>
              </w:rPr>
            </w:pPr>
            <w:r w:rsidRPr="00874955">
              <w:rPr>
                <w:szCs w:val="18"/>
              </w:rPr>
              <w:t>100%</w:t>
            </w:r>
          </w:p>
        </w:tc>
      </w:tr>
      <w:tr w:rsidR="00874955" w:rsidRPr="00874955" w14:paraId="11281C9A" w14:textId="77777777" w:rsidTr="00874955">
        <w:trPr>
          <w:gridAfter w:val="3"/>
          <w:wAfter w:w="189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3350048" w14:textId="77777777" w:rsidR="00874955" w:rsidRPr="00874955" w:rsidRDefault="00874955" w:rsidP="00874955">
            <w:pPr>
              <w:pStyle w:val="LFTTabletext"/>
              <w:spacing w:line="20" w:lineRule="atLeast"/>
              <w:jc w:val="center"/>
              <w:rPr>
                <w:szCs w:val="18"/>
              </w:rPr>
            </w:pPr>
            <w:r w:rsidRPr="00874955">
              <w:rPr>
                <w:szCs w:val="18"/>
              </w:rPr>
              <w:t>Minimum</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3586D60" w14:textId="77777777" w:rsidR="00874955" w:rsidRPr="00874955" w:rsidRDefault="00874955" w:rsidP="00874955">
            <w:pPr>
              <w:pStyle w:val="LFTTabletext"/>
              <w:spacing w:line="20" w:lineRule="atLeast"/>
              <w:jc w:val="center"/>
              <w:rPr>
                <w:szCs w:val="18"/>
              </w:rPr>
            </w:pPr>
            <w:r w:rsidRPr="00874955">
              <w:rPr>
                <w:szCs w:val="18"/>
              </w:rPr>
              <w:t>&lt;MDL</w:t>
            </w:r>
            <w:r w:rsidRPr="00874955">
              <w:rPr>
                <w:szCs w:val="18"/>
                <w:vertAlign w:val="superscript"/>
              </w:rPr>
              <w:t>3</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268BD98" w14:textId="77777777" w:rsidR="00874955" w:rsidRPr="00874955" w:rsidRDefault="00874955" w:rsidP="00874955">
            <w:pPr>
              <w:pStyle w:val="LFTTabletext"/>
              <w:spacing w:line="20" w:lineRule="atLeast"/>
              <w:jc w:val="center"/>
              <w:rPr>
                <w:szCs w:val="18"/>
              </w:rPr>
            </w:pPr>
            <w:r w:rsidRPr="00874955">
              <w:rPr>
                <w:szCs w:val="18"/>
              </w:rPr>
              <w:t>0.83</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73E1FCC" w14:textId="77777777" w:rsidR="00874955" w:rsidRPr="00874955" w:rsidRDefault="00874955" w:rsidP="00874955">
            <w:pPr>
              <w:pStyle w:val="LFTTabletext"/>
              <w:spacing w:line="20" w:lineRule="atLeast"/>
              <w:jc w:val="center"/>
              <w:rPr>
                <w:szCs w:val="18"/>
              </w:rPr>
            </w:pPr>
            <w:r w:rsidRPr="00874955">
              <w:rPr>
                <w:szCs w:val="18"/>
              </w:rPr>
              <w:t>&lt;0.03</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556BC11"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B797B51" w14:textId="77777777" w:rsidR="00874955" w:rsidRPr="00874955" w:rsidRDefault="00874955" w:rsidP="00874955">
            <w:pPr>
              <w:pStyle w:val="LFTTabletext"/>
              <w:spacing w:line="20" w:lineRule="atLeast"/>
              <w:jc w:val="center"/>
              <w:rPr>
                <w:szCs w:val="18"/>
              </w:rPr>
            </w:pPr>
            <w:r w:rsidRPr="00874955">
              <w:rPr>
                <w:szCs w:val="18"/>
              </w:rPr>
              <w:t>&lt;5</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E7CB389" w14:textId="77777777" w:rsidR="00874955" w:rsidRPr="00874955" w:rsidRDefault="00874955" w:rsidP="00874955">
            <w:pPr>
              <w:pStyle w:val="LFTTabletext"/>
              <w:spacing w:line="20" w:lineRule="atLeast"/>
              <w:jc w:val="center"/>
              <w:rPr>
                <w:szCs w:val="18"/>
              </w:rPr>
            </w:pPr>
            <w:r w:rsidRPr="00874955">
              <w:rPr>
                <w:szCs w:val="18"/>
              </w:rPr>
              <w:t>47</w:t>
            </w:r>
          </w:p>
        </w:tc>
        <w:tc>
          <w:tcPr>
            <w:tcW w:w="990" w:type="dxa"/>
            <w:tcBorders>
              <w:top w:val="single" w:sz="4" w:space="0" w:color="auto"/>
              <w:left w:val="single" w:sz="4" w:space="0" w:color="auto"/>
              <w:bottom w:val="single" w:sz="4" w:space="0" w:color="auto"/>
              <w:right w:val="single" w:sz="4" w:space="0" w:color="auto"/>
            </w:tcBorders>
            <w:vAlign w:val="center"/>
          </w:tcPr>
          <w:p w14:paraId="010051D6" w14:textId="77777777" w:rsidR="00874955" w:rsidRPr="00874955" w:rsidRDefault="00874955" w:rsidP="00874955">
            <w:pPr>
              <w:pStyle w:val="LFTTabletext"/>
              <w:spacing w:line="20" w:lineRule="atLeast"/>
              <w:jc w:val="center"/>
              <w:rPr>
                <w:szCs w:val="18"/>
              </w:rPr>
            </w:pPr>
            <w:r w:rsidRPr="00874955">
              <w:rPr>
                <w:szCs w:val="18"/>
              </w:rPr>
              <w:t>--</w:t>
            </w:r>
          </w:p>
        </w:tc>
        <w:tc>
          <w:tcPr>
            <w:tcW w:w="990" w:type="dxa"/>
            <w:tcBorders>
              <w:top w:val="single" w:sz="4" w:space="0" w:color="auto"/>
              <w:left w:val="single" w:sz="4" w:space="0" w:color="auto"/>
              <w:bottom w:val="single" w:sz="4" w:space="0" w:color="auto"/>
              <w:right w:val="single" w:sz="4" w:space="0" w:color="auto"/>
            </w:tcBorders>
            <w:vAlign w:val="center"/>
          </w:tcPr>
          <w:p w14:paraId="045021AA" w14:textId="77777777" w:rsidR="00874955" w:rsidRPr="00874955" w:rsidRDefault="00874955" w:rsidP="00874955">
            <w:pPr>
              <w:pStyle w:val="LFTTabletext"/>
              <w:spacing w:line="20" w:lineRule="atLeast"/>
              <w:jc w:val="center"/>
              <w:rPr>
                <w:szCs w:val="18"/>
              </w:rPr>
            </w:pPr>
            <w:r w:rsidRPr="00874955">
              <w:rPr>
                <w:szCs w:val="18"/>
              </w:rPr>
              <w:t>1,600</w:t>
            </w:r>
          </w:p>
        </w:tc>
      </w:tr>
      <w:tr w:rsidR="00874955" w:rsidRPr="00874955" w14:paraId="304A397D" w14:textId="77777777" w:rsidTr="00874955">
        <w:trPr>
          <w:gridAfter w:val="3"/>
          <w:wAfter w:w="189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ADDF481" w14:textId="77777777" w:rsidR="00874955" w:rsidRPr="00874955" w:rsidRDefault="00874955" w:rsidP="00874955">
            <w:pPr>
              <w:pStyle w:val="LFTTabletext"/>
              <w:spacing w:line="20" w:lineRule="atLeast"/>
              <w:jc w:val="center"/>
              <w:rPr>
                <w:szCs w:val="18"/>
              </w:rPr>
            </w:pPr>
            <w:r w:rsidRPr="00874955">
              <w:rPr>
                <w:szCs w:val="18"/>
              </w:rPr>
              <w:t>Maximum</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FF9C80B" w14:textId="77777777" w:rsidR="00874955" w:rsidRPr="00874955" w:rsidRDefault="00874955" w:rsidP="00874955">
            <w:pPr>
              <w:pStyle w:val="LFTTabletext"/>
              <w:spacing w:line="20" w:lineRule="atLeast"/>
              <w:jc w:val="center"/>
              <w:rPr>
                <w:szCs w:val="18"/>
              </w:rPr>
            </w:pPr>
            <w:r w:rsidRPr="00874955">
              <w:rPr>
                <w:szCs w:val="18"/>
              </w:rPr>
              <w:t>2.04</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C7C2F7A" w14:textId="77777777" w:rsidR="00874955" w:rsidRPr="00874955" w:rsidRDefault="00874955" w:rsidP="00874955">
            <w:pPr>
              <w:pStyle w:val="LFTTabletext"/>
              <w:spacing w:line="20" w:lineRule="atLeast"/>
              <w:jc w:val="center"/>
              <w:rPr>
                <w:szCs w:val="18"/>
              </w:rPr>
            </w:pPr>
            <w:r w:rsidRPr="00874955">
              <w:rPr>
                <w:szCs w:val="18"/>
              </w:rPr>
              <w:t>2.38</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3364138" w14:textId="77777777" w:rsidR="00874955" w:rsidRPr="00874955" w:rsidRDefault="00874955" w:rsidP="00874955">
            <w:pPr>
              <w:pStyle w:val="LFTTabletext"/>
              <w:spacing w:line="20" w:lineRule="atLeast"/>
              <w:jc w:val="center"/>
              <w:rPr>
                <w:szCs w:val="18"/>
              </w:rPr>
            </w:pPr>
            <w:r w:rsidRPr="00874955">
              <w:rPr>
                <w:szCs w:val="18"/>
              </w:rPr>
              <w:t>0.98</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37102C0"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183278A" w14:textId="77777777" w:rsidR="00874955" w:rsidRPr="00874955" w:rsidRDefault="00874955" w:rsidP="00874955">
            <w:pPr>
              <w:pStyle w:val="LFTTabletext"/>
              <w:spacing w:line="20" w:lineRule="atLeast"/>
              <w:jc w:val="center"/>
              <w:rPr>
                <w:szCs w:val="18"/>
              </w:rPr>
            </w:pPr>
            <w:r w:rsidRPr="00874955">
              <w:rPr>
                <w:szCs w:val="18"/>
              </w:rPr>
              <w:t>90.8</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F909DEB" w14:textId="77777777" w:rsidR="00874955" w:rsidRPr="00874955" w:rsidRDefault="00874955" w:rsidP="00874955">
            <w:pPr>
              <w:pStyle w:val="LFTTabletext"/>
              <w:spacing w:line="20" w:lineRule="atLeast"/>
              <w:jc w:val="center"/>
              <w:rPr>
                <w:szCs w:val="18"/>
              </w:rPr>
            </w:pPr>
            <w:r w:rsidRPr="00874955">
              <w:rPr>
                <w:szCs w:val="18"/>
              </w:rPr>
              <w:t>1,300</w:t>
            </w:r>
          </w:p>
        </w:tc>
        <w:tc>
          <w:tcPr>
            <w:tcW w:w="990" w:type="dxa"/>
            <w:tcBorders>
              <w:top w:val="single" w:sz="4" w:space="0" w:color="auto"/>
              <w:left w:val="single" w:sz="4" w:space="0" w:color="auto"/>
              <w:bottom w:val="single" w:sz="4" w:space="0" w:color="auto"/>
              <w:right w:val="single" w:sz="4" w:space="0" w:color="auto"/>
            </w:tcBorders>
            <w:vAlign w:val="center"/>
          </w:tcPr>
          <w:p w14:paraId="2A071079" w14:textId="77777777" w:rsidR="00874955" w:rsidRPr="00874955" w:rsidRDefault="00874955" w:rsidP="00874955">
            <w:pPr>
              <w:pStyle w:val="LFTTabletext"/>
              <w:spacing w:line="20" w:lineRule="atLeast"/>
              <w:jc w:val="center"/>
              <w:rPr>
                <w:szCs w:val="18"/>
              </w:rPr>
            </w:pPr>
            <w:r w:rsidRPr="00874955">
              <w:rPr>
                <w:szCs w:val="18"/>
              </w:rPr>
              <w:t>--</w:t>
            </w:r>
          </w:p>
        </w:tc>
        <w:tc>
          <w:tcPr>
            <w:tcW w:w="990" w:type="dxa"/>
            <w:tcBorders>
              <w:top w:val="single" w:sz="4" w:space="0" w:color="auto"/>
              <w:left w:val="single" w:sz="4" w:space="0" w:color="auto"/>
              <w:bottom w:val="single" w:sz="4" w:space="0" w:color="auto"/>
              <w:right w:val="single" w:sz="4" w:space="0" w:color="auto"/>
            </w:tcBorders>
            <w:vAlign w:val="center"/>
          </w:tcPr>
          <w:p w14:paraId="6C0FAC19" w14:textId="77777777" w:rsidR="00874955" w:rsidRPr="00874955" w:rsidRDefault="00874955" w:rsidP="00874955">
            <w:pPr>
              <w:pStyle w:val="LFTTabletext"/>
              <w:spacing w:line="20" w:lineRule="atLeast"/>
              <w:jc w:val="center"/>
              <w:rPr>
                <w:szCs w:val="18"/>
              </w:rPr>
            </w:pPr>
            <w:r w:rsidRPr="00874955">
              <w:rPr>
                <w:szCs w:val="18"/>
              </w:rPr>
              <w:t>4,300</w:t>
            </w:r>
          </w:p>
        </w:tc>
      </w:tr>
      <w:tr w:rsidR="00874955" w:rsidRPr="00874955" w14:paraId="7ABF5B1A" w14:textId="77777777" w:rsidTr="0053622E">
        <w:trPr>
          <w:gridAfter w:val="3"/>
          <w:wAfter w:w="189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A8C345F" w14:textId="77777777" w:rsidR="00874955" w:rsidRPr="00874955" w:rsidRDefault="00874955" w:rsidP="00874955">
            <w:pPr>
              <w:pStyle w:val="LFTTabletext"/>
              <w:spacing w:line="20" w:lineRule="atLeast"/>
              <w:jc w:val="center"/>
              <w:rPr>
                <w:szCs w:val="18"/>
              </w:rPr>
            </w:pPr>
            <w:r w:rsidRPr="00874955">
              <w:rPr>
                <w:szCs w:val="18"/>
              </w:rPr>
              <w:t>Median</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FC1F0AF" w14:textId="77777777" w:rsidR="00874955" w:rsidRPr="00874955" w:rsidRDefault="00874955" w:rsidP="00874955">
            <w:pPr>
              <w:pStyle w:val="LFTTabletext"/>
              <w:spacing w:line="20" w:lineRule="atLeast"/>
              <w:jc w:val="center"/>
              <w:rPr>
                <w:szCs w:val="18"/>
              </w:rPr>
            </w:pPr>
            <w:r w:rsidRPr="00874955">
              <w:rPr>
                <w:szCs w:val="18"/>
              </w:rPr>
              <w:t>0.6</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E3B510D" w14:textId="77777777" w:rsidR="00874955" w:rsidRPr="00874955" w:rsidRDefault="00874955" w:rsidP="00874955">
            <w:pPr>
              <w:pStyle w:val="LFTTabletext"/>
              <w:spacing w:line="20" w:lineRule="atLeast"/>
              <w:jc w:val="center"/>
              <w:rPr>
                <w:szCs w:val="18"/>
              </w:rPr>
            </w:pPr>
            <w:r w:rsidRPr="00874955">
              <w:rPr>
                <w:szCs w:val="18"/>
              </w:rPr>
              <w:t>1.4</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4A133A5" w14:textId="77777777" w:rsidR="00874955" w:rsidRPr="00874955" w:rsidRDefault="00874955" w:rsidP="00874955">
            <w:pPr>
              <w:pStyle w:val="LFTTabletext"/>
              <w:spacing w:line="20" w:lineRule="atLeast"/>
              <w:jc w:val="center"/>
              <w:rPr>
                <w:szCs w:val="18"/>
              </w:rPr>
            </w:pPr>
            <w:r w:rsidRPr="00874955">
              <w:rPr>
                <w:szCs w:val="18"/>
              </w:rPr>
              <w:t>0.19</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7470534"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A9F6192" w14:textId="77777777" w:rsidR="00874955" w:rsidRPr="00874955" w:rsidRDefault="00874955" w:rsidP="00874955">
            <w:pPr>
              <w:pStyle w:val="LFTTabletext"/>
              <w:spacing w:line="20" w:lineRule="atLeast"/>
              <w:jc w:val="center"/>
              <w:rPr>
                <w:szCs w:val="18"/>
              </w:rPr>
            </w:pPr>
            <w:r w:rsidRPr="00874955">
              <w:rPr>
                <w:szCs w:val="18"/>
              </w:rPr>
              <w:t>22.1</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F6F1B64" w14:textId="77777777" w:rsidR="00874955" w:rsidRPr="00874955" w:rsidRDefault="00874955" w:rsidP="00874955">
            <w:pPr>
              <w:pStyle w:val="LFTTabletext"/>
              <w:spacing w:line="20" w:lineRule="atLeast"/>
              <w:jc w:val="center"/>
              <w:rPr>
                <w:szCs w:val="18"/>
              </w:rPr>
            </w:pPr>
            <w:r w:rsidRPr="00874955">
              <w:rPr>
                <w:szCs w:val="18"/>
              </w:rPr>
              <w:t>170</w:t>
            </w:r>
          </w:p>
        </w:tc>
        <w:tc>
          <w:tcPr>
            <w:tcW w:w="990" w:type="dxa"/>
            <w:tcBorders>
              <w:top w:val="single" w:sz="4" w:space="0" w:color="auto"/>
              <w:left w:val="single" w:sz="4" w:space="0" w:color="auto"/>
              <w:bottom w:val="single" w:sz="4" w:space="0" w:color="auto"/>
              <w:right w:val="single" w:sz="4" w:space="0" w:color="auto"/>
            </w:tcBorders>
            <w:vAlign w:val="center"/>
          </w:tcPr>
          <w:p w14:paraId="647AC71C" w14:textId="77777777" w:rsidR="00874955" w:rsidRPr="00874955" w:rsidRDefault="00874955" w:rsidP="00874955">
            <w:pPr>
              <w:pStyle w:val="LFTTabletext"/>
              <w:spacing w:line="20" w:lineRule="atLeast"/>
              <w:jc w:val="center"/>
              <w:rPr>
                <w:szCs w:val="18"/>
              </w:rPr>
            </w:pPr>
            <w:r w:rsidRPr="00874955">
              <w:rPr>
                <w:szCs w:val="18"/>
              </w:rPr>
              <w:t>--</w:t>
            </w:r>
          </w:p>
        </w:tc>
        <w:tc>
          <w:tcPr>
            <w:tcW w:w="990" w:type="dxa"/>
            <w:tcBorders>
              <w:top w:val="single" w:sz="4" w:space="0" w:color="auto"/>
              <w:left w:val="single" w:sz="4" w:space="0" w:color="auto"/>
              <w:bottom w:val="single" w:sz="4" w:space="0" w:color="auto"/>
              <w:right w:val="single" w:sz="4" w:space="0" w:color="auto"/>
            </w:tcBorders>
            <w:vAlign w:val="center"/>
          </w:tcPr>
          <w:p w14:paraId="553559B5" w14:textId="77777777" w:rsidR="00874955" w:rsidRPr="00874955" w:rsidRDefault="00874955" w:rsidP="00874955">
            <w:pPr>
              <w:pStyle w:val="LFTTabletext"/>
              <w:spacing w:line="20" w:lineRule="atLeast"/>
              <w:jc w:val="center"/>
              <w:rPr>
                <w:szCs w:val="18"/>
              </w:rPr>
            </w:pPr>
            <w:r w:rsidRPr="00874955">
              <w:rPr>
                <w:szCs w:val="18"/>
              </w:rPr>
              <w:t>3,400</w:t>
            </w:r>
          </w:p>
        </w:tc>
      </w:tr>
      <w:tr w:rsidR="00874955" w:rsidRPr="00874955" w14:paraId="571273BE" w14:textId="77777777" w:rsidTr="0053622E">
        <w:trPr>
          <w:gridAfter w:val="3"/>
          <w:wAfter w:w="1890" w:type="dxa"/>
          <w:trHeight w:val="20"/>
        </w:trPr>
        <w:tc>
          <w:tcPr>
            <w:tcW w:w="2444" w:type="dxa"/>
            <w:gridSpan w:val="2"/>
            <w:tcBorders>
              <w:top w:val="single" w:sz="4" w:space="0" w:color="auto"/>
              <w:left w:val="single" w:sz="4" w:space="0" w:color="auto"/>
              <w:bottom w:val="single" w:sz="4" w:space="0" w:color="auto"/>
            </w:tcBorders>
            <w:shd w:val="clear" w:color="auto" w:fill="9CCEF0" w:themeFill="accent4" w:themeFillShade="E6"/>
            <w:noWrap/>
            <w:tcMar>
              <w:top w:w="14" w:type="dxa"/>
              <w:left w:w="14" w:type="dxa"/>
              <w:bottom w:w="0" w:type="dxa"/>
              <w:right w:w="14" w:type="dxa"/>
            </w:tcMar>
            <w:vAlign w:val="center"/>
          </w:tcPr>
          <w:p w14:paraId="1A16F94C" w14:textId="77777777" w:rsidR="00874955" w:rsidRPr="00874955" w:rsidRDefault="00874955" w:rsidP="00874955">
            <w:pPr>
              <w:pStyle w:val="LFTTabletext"/>
              <w:spacing w:line="20" w:lineRule="atLeast"/>
              <w:jc w:val="center"/>
              <w:rPr>
                <w:szCs w:val="18"/>
              </w:rPr>
            </w:pPr>
            <w:r w:rsidRPr="00874955">
              <w:rPr>
                <w:szCs w:val="18"/>
              </w:rPr>
              <w:t>Municipal</w:t>
            </w:r>
            <w:r w:rsidRPr="00874955">
              <w:rPr>
                <w:szCs w:val="18"/>
                <w:vertAlign w:val="superscript"/>
              </w:rPr>
              <w:t>4</w:t>
            </w:r>
          </w:p>
        </w:tc>
        <w:tc>
          <w:tcPr>
            <w:tcW w:w="810" w:type="dxa"/>
            <w:tcBorders>
              <w:top w:val="single" w:sz="4" w:space="0" w:color="auto"/>
              <w:bottom w:val="single" w:sz="4" w:space="0" w:color="auto"/>
            </w:tcBorders>
            <w:shd w:val="clear" w:color="auto" w:fill="9CCEF0" w:themeFill="accent4" w:themeFillShade="E6"/>
            <w:noWrap/>
            <w:tcMar>
              <w:top w:w="14" w:type="dxa"/>
              <w:left w:w="14" w:type="dxa"/>
              <w:bottom w:w="0" w:type="dxa"/>
              <w:right w:w="14" w:type="dxa"/>
            </w:tcMar>
            <w:vAlign w:val="center"/>
          </w:tcPr>
          <w:p w14:paraId="7E668E08" w14:textId="77777777" w:rsidR="00874955" w:rsidRPr="00874955" w:rsidRDefault="00874955" w:rsidP="00874955">
            <w:pPr>
              <w:pStyle w:val="LFTTabletext"/>
              <w:spacing w:line="20" w:lineRule="atLeast"/>
              <w:jc w:val="center"/>
              <w:rPr>
                <w:szCs w:val="18"/>
              </w:rPr>
            </w:pPr>
          </w:p>
        </w:tc>
        <w:tc>
          <w:tcPr>
            <w:tcW w:w="810" w:type="dxa"/>
            <w:tcBorders>
              <w:top w:val="single" w:sz="4" w:space="0" w:color="auto"/>
              <w:bottom w:val="single" w:sz="4" w:space="0" w:color="auto"/>
            </w:tcBorders>
            <w:shd w:val="clear" w:color="auto" w:fill="9CCEF0" w:themeFill="accent4" w:themeFillShade="E6"/>
            <w:noWrap/>
            <w:tcMar>
              <w:top w:w="14" w:type="dxa"/>
              <w:left w:w="14" w:type="dxa"/>
              <w:bottom w:w="0" w:type="dxa"/>
              <w:right w:w="14" w:type="dxa"/>
            </w:tcMar>
            <w:vAlign w:val="center"/>
          </w:tcPr>
          <w:p w14:paraId="3F63B64D" w14:textId="77777777" w:rsidR="00874955" w:rsidRPr="00874955" w:rsidRDefault="00874955" w:rsidP="00874955">
            <w:pPr>
              <w:pStyle w:val="LFTTabletext"/>
              <w:spacing w:line="20" w:lineRule="atLeast"/>
              <w:jc w:val="center"/>
              <w:rPr>
                <w:szCs w:val="18"/>
              </w:rPr>
            </w:pPr>
          </w:p>
        </w:tc>
        <w:tc>
          <w:tcPr>
            <w:tcW w:w="900" w:type="dxa"/>
            <w:tcBorders>
              <w:top w:val="single" w:sz="4" w:space="0" w:color="auto"/>
              <w:bottom w:val="single" w:sz="4" w:space="0" w:color="auto"/>
            </w:tcBorders>
            <w:shd w:val="clear" w:color="auto" w:fill="9CCEF0" w:themeFill="accent4" w:themeFillShade="E6"/>
            <w:noWrap/>
            <w:tcMar>
              <w:top w:w="14" w:type="dxa"/>
              <w:left w:w="14" w:type="dxa"/>
              <w:bottom w:w="0" w:type="dxa"/>
              <w:right w:w="14" w:type="dxa"/>
            </w:tcMar>
            <w:vAlign w:val="center"/>
          </w:tcPr>
          <w:p w14:paraId="6F55894D" w14:textId="77777777" w:rsidR="00874955" w:rsidRPr="00874955" w:rsidRDefault="00874955" w:rsidP="00874955">
            <w:pPr>
              <w:pStyle w:val="LFTTabletext"/>
              <w:spacing w:line="20" w:lineRule="atLeast"/>
              <w:jc w:val="center"/>
              <w:rPr>
                <w:szCs w:val="18"/>
              </w:rPr>
            </w:pPr>
          </w:p>
        </w:tc>
        <w:tc>
          <w:tcPr>
            <w:tcW w:w="900" w:type="dxa"/>
            <w:tcBorders>
              <w:top w:val="single" w:sz="4" w:space="0" w:color="auto"/>
              <w:bottom w:val="single" w:sz="4" w:space="0" w:color="auto"/>
            </w:tcBorders>
            <w:shd w:val="clear" w:color="auto" w:fill="9CCEF0" w:themeFill="accent4" w:themeFillShade="E6"/>
            <w:noWrap/>
            <w:tcMar>
              <w:top w:w="14" w:type="dxa"/>
              <w:left w:w="14" w:type="dxa"/>
              <w:bottom w:w="0" w:type="dxa"/>
              <w:right w:w="14" w:type="dxa"/>
            </w:tcMar>
            <w:vAlign w:val="center"/>
          </w:tcPr>
          <w:p w14:paraId="3F814D4D" w14:textId="77777777" w:rsidR="00874955" w:rsidRPr="00874955" w:rsidRDefault="00874955" w:rsidP="00874955">
            <w:pPr>
              <w:pStyle w:val="LFTTabletext"/>
              <w:spacing w:line="20" w:lineRule="atLeast"/>
              <w:jc w:val="center"/>
              <w:rPr>
                <w:szCs w:val="18"/>
              </w:rPr>
            </w:pPr>
          </w:p>
        </w:tc>
        <w:tc>
          <w:tcPr>
            <w:tcW w:w="900" w:type="dxa"/>
            <w:tcBorders>
              <w:top w:val="single" w:sz="4" w:space="0" w:color="auto"/>
              <w:bottom w:val="single" w:sz="4" w:space="0" w:color="auto"/>
            </w:tcBorders>
            <w:shd w:val="clear" w:color="auto" w:fill="9CCEF0" w:themeFill="accent4" w:themeFillShade="E6"/>
            <w:noWrap/>
            <w:tcMar>
              <w:top w:w="14" w:type="dxa"/>
              <w:left w:w="14" w:type="dxa"/>
              <w:bottom w:w="0" w:type="dxa"/>
              <w:right w:w="14" w:type="dxa"/>
            </w:tcMar>
            <w:vAlign w:val="center"/>
          </w:tcPr>
          <w:p w14:paraId="5E7F6667" w14:textId="77777777" w:rsidR="00874955" w:rsidRPr="00874955" w:rsidRDefault="00874955" w:rsidP="00874955">
            <w:pPr>
              <w:pStyle w:val="LFTTabletext"/>
              <w:spacing w:line="20" w:lineRule="atLeast"/>
              <w:jc w:val="center"/>
              <w:rPr>
                <w:szCs w:val="18"/>
              </w:rPr>
            </w:pPr>
          </w:p>
        </w:tc>
        <w:tc>
          <w:tcPr>
            <w:tcW w:w="900" w:type="dxa"/>
            <w:tcBorders>
              <w:top w:val="single" w:sz="4" w:space="0" w:color="auto"/>
              <w:bottom w:val="single" w:sz="4" w:space="0" w:color="auto"/>
            </w:tcBorders>
            <w:shd w:val="clear" w:color="auto" w:fill="9CCEF0" w:themeFill="accent4" w:themeFillShade="E6"/>
            <w:noWrap/>
            <w:tcMar>
              <w:top w:w="14" w:type="dxa"/>
              <w:left w:w="14" w:type="dxa"/>
              <w:bottom w:w="0" w:type="dxa"/>
              <w:right w:w="14" w:type="dxa"/>
            </w:tcMar>
            <w:vAlign w:val="center"/>
          </w:tcPr>
          <w:p w14:paraId="588858AE" w14:textId="77777777" w:rsidR="00874955" w:rsidRPr="00874955" w:rsidRDefault="00874955" w:rsidP="00874955">
            <w:pPr>
              <w:pStyle w:val="LFTTabletext"/>
              <w:spacing w:line="20" w:lineRule="atLeast"/>
              <w:jc w:val="center"/>
              <w:rPr>
                <w:szCs w:val="18"/>
              </w:rPr>
            </w:pPr>
          </w:p>
        </w:tc>
        <w:tc>
          <w:tcPr>
            <w:tcW w:w="990" w:type="dxa"/>
            <w:tcBorders>
              <w:top w:val="single" w:sz="4" w:space="0" w:color="auto"/>
              <w:bottom w:val="single" w:sz="4" w:space="0" w:color="auto"/>
            </w:tcBorders>
            <w:shd w:val="clear" w:color="auto" w:fill="9CCEF0" w:themeFill="accent4" w:themeFillShade="E6"/>
            <w:vAlign w:val="center"/>
          </w:tcPr>
          <w:p w14:paraId="01BEEE32" w14:textId="77777777" w:rsidR="00874955" w:rsidRPr="00874955" w:rsidRDefault="00874955" w:rsidP="00874955">
            <w:pPr>
              <w:pStyle w:val="LFTTabletext"/>
              <w:spacing w:line="20" w:lineRule="atLeast"/>
              <w:jc w:val="center"/>
              <w:rPr>
                <w:szCs w:val="18"/>
              </w:rPr>
            </w:pPr>
          </w:p>
        </w:tc>
        <w:tc>
          <w:tcPr>
            <w:tcW w:w="990" w:type="dxa"/>
            <w:tcBorders>
              <w:top w:val="single" w:sz="4" w:space="0" w:color="auto"/>
              <w:bottom w:val="single" w:sz="4" w:space="0" w:color="auto"/>
              <w:right w:val="single" w:sz="4" w:space="0" w:color="auto"/>
            </w:tcBorders>
            <w:shd w:val="clear" w:color="auto" w:fill="9CCEF0" w:themeFill="accent4" w:themeFillShade="E6"/>
            <w:vAlign w:val="center"/>
          </w:tcPr>
          <w:p w14:paraId="14C4A59F" w14:textId="77777777" w:rsidR="00874955" w:rsidRPr="00874955" w:rsidRDefault="00874955" w:rsidP="00874955">
            <w:pPr>
              <w:pStyle w:val="LFTTabletext"/>
              <w:spacing w:line="20" w:lineRule="atLeast"/>
              <w:jc w:val="center"/>
              <w:rPr>
                <w:szCs w:val="18"/>
              </w:rPr>
            </w:pPr>
          </w:p>
        </w:tc>
      </w:tr>
      <w:tr w:rsidR="00874955" w:rsidRPr="00874955" w14:paraId="6B1DDC70" w14:textId="77777777" w:rsidTr="00874955">
        <w:trPr>
          <w:gridAfter w:val="3"/>
          <w:wAfter w:w="1890" w:type="dxa"/>
          <w:trHeight w:val="20"/>
        </w:trPr>
        <w:tc>
          <w:tcPr>
            <w:tcW w:w="2444" w:type="dxa"/>
            <w:gridSpan w:val="2"/>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79EF2C97" w14:textId="77777777" w:rsidR="00874955" w:rsidRPr="00874955" w:rsidRDefault="00874955" w:rsidP="00874955">
            <w:pPr>
              <w:pStyle w:val="LFTTabletext"/>
              <w:spacing w:line="20" w:lineRule="atLeast"/>
              <w:jc w:val="center"/>
              <w:rPr>
                <w:szCs w:val="18"/>
              </w:rPr>
            </w:pPr>
            <w:r w:rsidRPr="00874955">
              <w:rPr>
                <w:szCs w:val="18"/>
              </w:rPr>
              <w:t>Number of sites</w:t>
            </w:r>
          </w:p>
        </w:tc>
        <w:tc>
          <w:tcPr>
            <w:tcW w:w="810" w:type="dxa"/>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678EA4A0" w14:textId="77777777" w:rsidR="00874955" w:rsidRPr="00874955" w:rsidRDefault="00874955" w:rsidP="00874955">
            <w:pPr>
              <w:pStyle w:val="LFTTabletext"/>
              <w:spacing w:line="20" w:lineRule="atLeast"/>
              <w:jc w:val="center"/>
              <w:rPr>
                <w:szCs w:val="18"/>
              </w:rPr>
            </w:pPr>
            <w:r w:rsidRPr="00874955">
              <w:rPr>
                <w:szCs w:val="18"/>
              </w:rPr>
              <w:t>--</w:t>
            </w:r>
          </w:p>
        </w:tc>
        <w:tc>
          <w:tcPr>
            <w:tcW w:w="810" w:type="dxa"/>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664E6D0F"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69BAB79B"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3B22A960"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3BC88937"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1744C572" w14:textId="77777777" w:rsidR="00874955" w:rsidRPr="00874955" w:rsidRDefault="00874955" w:rsidP="00874955">
            <w:pPr>
              <w:pStyle w:val="LFTTabletext"/>
              <w:spacing w:line="20" w:lineRule="atLeast"/>
              <w:jc w:val="center"/>
              <w:rPr>
                <w:szCs w:val="18"/>
              </w:rPr>
            </w:pPr>
            <w:r w:rsidRPr="00874955">
              <w:rPr>
                <w:szCs w:val="18"/>
              </w:rPr>
              <w:t>--</w:t>
            </w:r>
          </w:p>
        </w:tc>
        <w:tc>
          <w:tcPr>
            <w:tcW w:w="990" w:type="dxa"/>
            <w:tcBorders>
              <w:top w:val="single" w:sz="4" w:space="0" w:color="auto"/>
              <w:left w:val="single" w:sz="4" w:space="0" w:color="auto"/>
              <w:bottom w:val="single" w:sz="4" w:space="0" w:color="auto"/>
              <w:right w:val="single" w:sz="4" w:space="0" w:color="auto"/>
            </w:tcBorders>
            <w:vAlign w:val="center"/>
          </w:tcPr>
          <w:p w14:paraId="44575E50" w14:textId="77777777" w:rsidR="00874955" w:rsidRPr="00874955" w:rsidRDefault="00874955" w:rsidP="00874955">
            <w:pPr>
              <w:pStyle w:val="LFTTabletext"/>
              <w:spacing w:line="20" w:lineRule="atLeast"/>
              <w:jc w:val="center"/>
              <w:rPr>
                <w:szCs w:val="18"/>
              </w:rPr>
            </w:pPr>
            <w:r w:rsidRPr="00874955">
              <w:rPr>
                <w:szCs w:val="18"/>
              </w:rPr>
              <w:t>--</w:t>
            </w:r>
          </w:p>
        </w:tc>
        <w:tc>
          <w:tcPr>
            <w:tcW w:w="990" w:type="dxa"/>
            <w:tcBorders>
              <w:top w:val="single" w:sz="4" w:space="0" w:color="auto"/>
              <w:left w:val="single" w:sz="4" w:space="0" w:color="auto"/>
              <w:bottom w:val="single" w:sz="4" w:space="0" w:color="auto"/>
              <w:right w:val="single" w:sz="4" w:space="0" w:color="auto"/>
            </w:tcBorders>
            <w:vAlign w:val="center"/>
          </w:tcPr>
          <w:p w14:paraId="66C9E9DE" w14:textId="77777777" w:rsidR="00874955" w:rsidRPr="00874955" w:rsidRDefault="00874955" w:rsidP="00874955">
            <w:pPr>
              <w:pStyle w:val="LFTTabletext"/>
              <w:spacing w:line="20" w:lineRule="atLeast"/>
              <w:jc w:val="center"/>
              <w:rPr>
                <w:szCs w:val="18"/>
              </w:rPr>
            </w:pPr>
            <w:r w:rsidRPr="00874955">
              <w:rPr>
                <w:szCs w:val="18"/>
              </w:rPr>
              <w:t>--</w:t>
            </w:r>
          </w:p>
        </w:tc>
      </w:tr>
      <w:tr w:rsidR="00874955" w:rsidRPr="00874955" w14:paraId="25E4A6E0" w14:textId="77777777" w:rsidTr="00874955">
        <w:trPr>
          <w:gridAfter w:val="3"/>
          <w:wAfter w:w="1890" w:type="dxa"/>
          <w:trHeight w:val="20"/>
        </w:trPr>
        <w:tc>
          <w:tcPr>
            <w:tcW w:w="2444" w:type="dxa"/>
            <w:gridSpan w:val="2"/>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739E9903" w14:textId="77777777" w:rsidR="00874955" w:rsidRPr="00874955" w:rsidRDefault="00874955" w:rsidP="00874955">
            <w:pPr>
              <w:pStyle w:val="LFTTabletext"/>
              <w:spacing w:line="20" w:lineRule="atLeast"/>
              <w:jc w:val="center"/>
              <w:rPr>
                <w:szCs w:val="18"/>
              </w:rPr>
            </w:pPr>
            <w:r w:rsidRPr="00874955">
              <w:rPr>
                <w:szCs w:val="18"/>
              </w:rPr>
              <w:t>Number of observations</w:t>
            </w:r>
          </w:p>
        </w:tc>
        <w:tc>
          <w:tcPr>
            <w:tcW w:w="810" w:type="dxa"/>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266110B0" w14:textId="77777777" w:rsidR="00874955" w:rsidRPr="00874955" w:rsidRDefault="00874955" w:rsidP="00874955">
            <w:pPr>
              <w:pStyle w:val="LFTTabletext"/>
              <w:spacing w:line="20" w:lineRule="atLeast"/>
              <w:jc w:val="center"/>
              <w:rPr>
                <w:szCs w:val="18"/>
              </w:rPr>
            </w:pPr>
            <w:r w:rsidRPr="00874955">
              <w:rPr>
                <w:szCs w:val="18"/>
              </w:rPr>
              <w:t>--</w:t>
            </w:r>
          </w:p>
        </w:tc>
        <w:tc>
          <w:tcPr>
            <w:tcW w:w="810" w:type="dxa"/>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74C9E881"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00E9A264"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1E077DD1"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20728A34" w14:textId="77777777" w:rsidR="00874955" w:rsidRPr="00874955" w:rsidRDefault="00874955" w:rsidP="00874955">
            <w:pPr>
              <w:pStyle w:val="LFTTabletext"/>
              <w:spacing w:line="20" w:lineRule="atLeast"/>
              <w:jc w:val="center"/>
              <w:rPr>
                <w:szCs w:val="18"/>
              </w:rPr>
            </w:pPr>
            <w:r w:rsidRPr="00874955">
              <w:rPr>
                <w:szCs w:val="18"/>
              </w:rPr>
              <w:t>6</w:t>
            </w:r>
          </w:p>
        </w:tc>
        <w:tc>
          <w:tcPr>
            <w:tcW w:w="900" w:type="dxa"/>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652CB29C" w14:textId="77777777" w:rsidR="00874955" w:rsidRPr="00874955" w:rsidRDefault="00874955" w:rsidP="00874955">
            <w:pPr>
              <w:pStyle w:val="LFTTabletext"/>
              <w:spacing w:line="20" w:lineRule="atLeast"/>
              <w:jc w:val="center"/>
              <w:rPr>
                <w:szCs w:val="18"/>
              </w:rPr>
            </w:pPr>
            <w:r w:rsidRPr="00874955">
              <w:rPr>
                <w:szCs w:val="18"/>
              </w:rPr>
              <w:t>7</w:t>
            </w:r>
          </w:p>
        </w:tc>
        <w:tc>
          <w:tcPr>
            <w:tcW w:w="990" w:type="dxa"/>
            <w:tcBorders>
              <w:top w:val="single" w:sz="4" w:space="0" w:color="auto"/>
              <w:left w:val="single" w:sz="4" w:space="0" w:color="auto"/>
              <w:bottom w:val="single" w:sz="4" w:space="0" w:color="auto"/>
              <w:right w:val="single" w:sz="4" w:space="0" w:color="auto"/>
            </w:tcBorders>
            <w:vAlign w:val="center"/>
          </w:tcPr>
          <w:p w14:paraId="7ECCF853" w14:textId="77777777" w:rsidR="00874955" w:rsidRPr="00874955" w:rsidRDefault="00874955" w:rsidP="00874955">
            <w:pPr>
              <w:pStyle w:val="LFTTabletext"/>
              <w:spacing w:line="20" w:lineRule="atLeast"/>
              <w:jc w:val="center"/>
              <w:rPr>
                <w:szCs w:val="18"/>
              </w:rPr>
            </w:pPr>
            <w:r w:rsidRPr="00874955">
              <w:rPr>
                <w:szCs w:val="18"/>
              </w:rPr>
              <w:t>--</w:t>
            </w:r>
          </w:p>
        </w:tc>
        <w:tc>
          <w:tcPr>
            <w:tcW w:w="990" w:type="dxa"/>
            <w:tcBorders>
              <w:top w:val="single" w:sz="4" w:space="0" w:color="auto"/>
              <w:left w:val="single" w:sz="4" w:space="0" w:color="auto"/>
              <w:bottom w:val="single" w:sz="4" w:space="0" w:color="auto"/>
              <w:right w:val="single" w:sz="4" w:space="0" w:color="auto"/>
            </w:tcBorders>
            <w:vAlign w:val="center"/>
          </w:tcPr>
          <w:p w14:paraId="185F9505" w14:textId="77777777" w:rsidR="00874955" w:rsidRPr="00874955" w:rsidRDefault="00874955" w:rsidP="00874955">
            <w:pPr>
              <w:pStyle w:val="LFTTabletext"/>
              <w:spacing w:line="20" w:lineRule="atLeast"/>
              <w:jc w:val="center"/>
              <w:rPr>
                <w:szCs w:val="18"/>
              </w:rPr>
            </w:pPr>
            <w:r w:rsidRPr="00874955">
              <w:rPr>
                <w:szCs w:val="18"/>
              </w:rPr>
              <w:t>--</w:t>
            </w:r>
          </w:p>
        </w:tc>
      </w:tr>
      <w:tr w:rsidR="00874955" w:rsidRPr="00874955" w14:paraId="036D8820" w14:textId="77777777" w:rsidTr="00874955">
        <w:trPr>
          <w:gridAfter w:val="3"/>
          <w:wAfter w:w="189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FE2B2D8" w14:textId="77777777" w:rsidR="00874955" w:rsidRPr="00874955" w:rsidRDefault="00874955" w:rsidP="00874955">
            <w:pPr>
              <w:pStyle w:val="LFTTabletext"/>
              <w:spacing w:line="20" w:lineRule="atLeast"/>
              <w:jc w:val="center"/>
              <w:rPr>
                <w:szCs w:val="18"/>
              </w:rPr>
            </w:pPr>
            <w:r w:rsidRPr="00874955">
              <w:rPr>
                <w:szCs w:val="18"/>
              </w:rPr>
              <w:t>% of samples above the detection limit</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6F3EFA5" w14:textId="77777777" w:rsidR="00874955" w:rsidRPr="00874955" w:rsidRDefault="00874955" w:rsidP="00874955">
            <w:pPr>
              <w:pStyle w:val="LFTTabletext"/>
              <w:spacing w:line="20" w:lineRule="atLeast"/>
              <w:jc w:val="center"/>
              <w:rPr>
                <w:szCs w:val="18"/>
              </w:rPr>
            </w:pPr>
            <w:r w:rsidRPr="00874955">
              <w:rPr>
                <w:szCs w:val="18"/>
              </w:rPr>
              <w:t>--</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73D6B5B"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A4C3071"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7EB233C"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2B399E1"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F23017C" w14:textId="77777777" w:rsidR="00874955" w:rsidRPr="00874955" w:rsidRDefault="00874955" w:rsidP="00874955">
            <w:pPr>
              <w:pStyle w:val="LFTTabletext"/>
              <w:spacing w:line="20" w:lineRule="atLeast"/>
              <w:jc w:val="center"/>
              <w:rPr>
                <w:szCs w:val="18"/>
              </w:rPr>
            </w:pPr>
            <w:r w:rsidRPr="00874955">
              <w:rPr>
                <w:szCs w:val="18"/>
              </w:rPr>
              <w:t>--</w:t>
            </w:r>
          </w:p>
        </w:tc>
        <w:tc>
          <w:tcPr>
            <w:tcW w:w="990" w:type="dxa"/>
            <w:tcBorders>
              <w:top w:val="single" w:sz="4" w:space="0" w:color="auto"/>
              <w:left w:val="single" w:sz="4" w:space="0" w:color="auto"/>
              <w:bottom w:val="single" w:sz="4" w:space="0" w:color="auto"/>
              <w:right w:val="single" w:sz="4" w:space="0" w:color="auto"/>
            </w:tcBorders>
            <w:vAlign w:val="center"/>
          </w:tcPr>
          <w:p w14:paraId="5CFCED74" w14:textId="77777777" w:rsidR="00874955" w:rsidRPr="00874955" w:rsidRDefault="00874955" w:rsidP="00874955">
            <w:pPr>
              <w:pStyle w:val="LFTTabletext"/>
              <w:spacing w:line="20" w:lineRule="atLeast"/>
              <w:jc w:val="center"/>
              <w:rPr>
                <w:szCs w:val="18"/>
              </w:rPr>
            </w:pPr>
            <w:r w:rsidRPr="00874955">
              <w:rPr>
                <w:szCs w:val="18"/>
              </w:rPr>
              <w:t>--</w:t>
            </w:r>
          </w:p>
        </w:tc>
        <w:tc>
          <w:tcPr>
            <w:tcW w:w="990" w:type="dxa"/>
            <w:tcBorders>
              <w:top w:val="single" w:sz="4" w:space="0" w:color="auto"/>
              <w:left w:val="single" w:sz="4" w:space="0" w:color="auto"/>
              <w:bottom w:val="single" w:sz="4" w:space="0" w:color="auto"/>
              <w:right w:val="single" w:sz="4" w:space="0" w:color="auto"/>
            </w:tcBorders>
            <w:vAlign w:val="center"/>
          </w:tcPr>
          <w:p w14:paraId="6E2E5B32" w14:textId="77777777" w:rsidR="00874955" w:rsidRPr="00874955" w:rsidRDefault="00874955" w:rsidP="00874955">
            <w:pPr>
              <w:pStyle w:val="LFTTabletext"/>
              <w:spacing w:line="20" w:lineRule="atLeast"/>
              <w:jc w:val="center"/>
              <w:rPr>
                <w:szCs w:val="18"/>
              </w:rPr>
            </w:pPr>
            <w:r w:rsidRPr="00874955">
              <w:rPr>
                <w:szCs w:val="18"/>
              </w:rPr>
              <w:t>--</w:t>
            </w:r>
          </w:p>
        </w:tc>
      </w:tr>
      <w:tr w:rsidR="00874955" w:rsidRPr="00874955" w14:paraId="4E79C603" w14:textId="77777777" w:rsidTr="00874955">
        <w:trPr>
          <w:gridAfter w:val="3"/>
          <w:wAfter w:w="189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C0BE9F3" w14:textId="77777777" w:rsidR="00874955" w:rsidRPr="00874955" w:rsidRDefault="00874955" w:rsidP="00874955">
            <w:pPr>
              <w:pStyle w:val="LFTTabletext"/>
              <w:spacing w:line="20" w:lineRule="atLeast"/>
              <w:jc w:val="center"/>
              <w:rPr>
                <w:szCs w:val="18"/>
              </w:rPr>
            </w:pPr>
            <w:r w:rsidRPr="00874955">
              <w:rPr>
                <w:szCs w:val="18"/>
              </w:rPr>
              <w:t>Minimum</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01ADD35" w14:textId="77777777" w:rsidR="00874955" w:rsidRPr="00874955" w:rsidRDefault="00874955" w:rsidP="00874955">
            <w:pPr>
              <w:pStyle w:val="LFTTabletext"/>
              <w:spacing w:line="20" w:lineRule="atLeast"/>
              <w:jc w:val="center"/>
              <w:rPr>
                <w:szCs w:val="18"/>
              </w:rPr>
            </w:pPr>
            <w:r w:rsidRPr="00874955">
              <w:rPr>
                <w:szCs w:val="18"/>
              </w:rPr>
              <w:t>--</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1A4EA21"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EB6F6D0"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C276919"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EF7AE42" w14:textId="77777777" w:rsidR="00874955" w:rsidRPr="00874955" w:rsidRDefault="00874955" w:rsidP="00874955">
            <w:pPr>
              <w:pStyle w:val="LFTTabletext"/>
              <w:spacing w:line="20" w:lineRule="atLeast"/>
              <w:jc w:val="center"/>
              <w:rPr>
                <w:szCs w:val="18"/>
              </w:rPr>
            </w:pPr>
            <w:r w:rsidRPr="00874955">
              <w:rPr>
                <w:szCs w:val="18"/>
              </w:rPr>
              <w:t>1.0</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EE5136F" w14:textId="77777777" w:rsidR="00874955" w:rsidRPr="00874955" w:rsidRDefault="00874955" w:rsidP="00874955">
            <w:pPr>
              <w:pStyle w:val="LFTTabletext"/>
              <w:spacing w:line="20" w:lineRule="atLeast"/>
              <w:jc w:val="center"/>
              <w:rPr>
                <w:szCs w:val="18"/>
              </w:rPr>
            </w:pPr>
            <w:r w:rsidRPr="00874955">
              <w:rPr>
                <w:szCs w:val="18"/>
              </w:rPr>
              <w:t>3.0</w:t>
            </w:r>
          </w:p>
        </w:tc>
        <w:tc>
          <w:tcPr>
            <w:tcW w:w="990" w:type="dxa"/>
            <w:tcBorders>
              <w:top w:val="single" w:sz="4" w:space="0" w:color="auto"/>
              <w:left w:val="single" w:sz="4" w:space="0" w:color="auto"/>
              <w:bottom w:val="single" w:sz="4" w:space="0" w:color="auto"/>
              <w:right w:val="single" w:sz="4" w:space="0" w:color="auto"/>
            </w:tcBorders>
            <w:vAlign w:val="center"/>
          </w:tcPr>
          <w:p w14:paraId="35277419" w14:textId="77777777" w:rsidR="00874955" w:rsidRPr="00874955" w:rsidRDefault="00874955" w:rsidP="00874955">
            <w:pPr>
              <w:pStyle w:val="LFTTabletext"/>
              <w:spacing w:line="20" w:lineRule="atLeast"/>
              <w:jc w:val="center"/>
              <w:rPr>
                <w:szCs w:val="18"/>
              </w:rPr>
            </w:pPr>
            <w:r w:rsidRPr="00874955">
              <w:rPr>
                <w:szCs w:val="18"/>
              </w:rPr>
              <w:t>--</w:t>
            </w:r>
          </w:p>
        </w:tc>
        <w:tc>
          <w:tcPr>
            <w:tcW w:w="990" w:type="dxa"/>
            <w:tcBorders>
              <w:top w:val="single" w:sz="4" w:space="0" w:color="auto"/>
              <w:left w:val="single" w:sz="4" w:space="0" w:color="auto"/>
              <w:bottom w:val="single" w:sz="4" w:space="0" w:color="auto"/>
              <w:right w:val="single" w:sz="4" w:space="0" w:color="auto"/>
            </w:tcBorders>
            <w:vAlign w:val="center"/>
          </w:tcPr>
          <w:p w14:paraId="459DB6C7" w14:textId="77777777" w:rsidR="00874955" w:rsidRPr="00874955" w:rsidRDefault="00874955" w:rsidP="00874955">
            <w:pPr>
              <w:pStyle w:val="LFTTabletext"/>
              <w:spacing w:line="20" w:lineRule="atLeast"/>
              <w:jc w:val="center"/>
              <w:rPr>
                <w:szCs w:val="18"/>
              </w:rPr>
            </w:pPr>
            <w:r w:rsidRPr="00874955">
              <w:rPr>
                <w:szCs w:val="18"/>
              </w:rPr>
              <w:t>--</w:t>
            </w:r>
          </w:p>
        </w:tc>
      </w:tr>
      <w:tr w:rsidR="00874955" w:rsidRPr="00874955" w14:paraId="7550CAFE" w14:textId="77777777" w:rsidTr="00874955">
        <w:trPr>
          <w:gridAfter w:val="3"/>
          <w:wAfter w:w="189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0AE3323" w14:textId="77777777" w:rsidR="00874955" w:rsidRPr="00874955" w:rsidRDefault="00874955" w:rsidP="00874955">
            <w:pPr>
              <w:pStyle w:val="LFTTabletext"/>
              <w:spacing w:line="20" w:lineRule="atLeast"/>
              <w:jc w:val="center"/>
              <w:rPr>
                <w:szCs w:val="18"/>
              </w:rPr>
            </w:pPr>
            <w:r w:rsidRPr="00874955">
              <w:rPr>
                <w:szCs w:val="18"/>
              </w:rPr>
              <w:t>Maximum</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5EC9B96" w14:textId="77777777" w:rsidR="00874955" w:rsidRPr="00874955" w:rsidRDefault="00874955" w:rsidP="00874955">
            <w:pPr>
              <w:pStyle w:val="LFTTabletext"/>
              <w:spacing w:line="20" w:lineRule="atLeast"/>
              <w:jc w:val="center"/>
              <w:rPr>
                <w:szCs w:val="18"/>
              </w:rPr>
            </w:pPr>
            <w:r w:rsidRPr="00874955">
              <w:rPr>
                <w:szCs w:val="18"/>
              </w:rPr>
              <w:t>--</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119831E"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AC7BD29"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BB0AEA0"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4282888" w14:textId="77777777" w:rsidR="00874955" w:rsidRPr="00874955" w:rsidRDefault="00874955" w:rsidP="00874955">
            <w:pPr>
              <w:pStyle w:val="LFTTabletext"/>
              <w:spacing w:line="20" w:lineRule="atLeast"/>
              <w:jc w:val="center"/>
              <w:rPr>
                <w:szCs w:val="18"/>
              </w:rPr>
            </w:pPr>
            <w:r w:rsidRPr="00874955">
              <w:rPr>
                <w:szCs w:val="18"/>
              </w:rPr>
              <w:t>1,520</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3A7E5B6" w14:textId="77777777" w:rsidR="00874955" w:rsidRPr="00874955" w:rsidRDefault="00874955" w:rsidP="00874955">
            <w:pPr>
              <w:pStyle w:val="LFTTabletext"/>
              <w:spacing w:line="20" w:lineRule="atLeast"/>
              <w:jc w:val="center"/>
              <w:rPr>
                <w:szCs w:val="18"/>
              </w:rPr>
            </w:pPr>
            <w:r w:rsidRPr="00874955">
              <w:rPr>
                <w:szCs w:val="18"/>
              </w:rPr>
              <w:t>100</w:t>
            </w:r>
          </w:p>
        </w:tc>
        <w:tc>
          <w:tcPr>
            <w:tcW w:w="990" w:type="dxa"/>
            <w:tcBorders>
              <w:top w:val="single" w:sz="4" w:space="0" w:color="auto"/>
              <w:left w:val="single" w:sz="4" w:space="0" w:color="auto"/>
              <w:bottom w:val="single" w:sz="4" w:space="0" w:color="auto"/>
              <w:right w:val="single" w:sz="4" w:space="0" w:color="auto"/>
            </w:tcBorders>
            <w:vAlign w:val="center"/>
          </w:tcPr>
          <w:p w14:paraId="1B245E25" w14:textId="77777777" w:rsidR="00874955" w:rsidRPr="00874955" w:rsidRDefault="00874955" w:rsidP="00874955">
            <w:pPr>
              <w:pStyle w:val="LFTTabletext"/>
              <w:spacing w:line="20" w:lineRule="atLeast"/>
              <w:jc w:val="center"/>
              <w:rPr>
                <w:szCs w:val="18"/>
              </w:rPr>
            </w:pPr>
            <w:r w:rsidRPr="00874955">
              <w:rPr>
                <w:szCs w:val="18"/>
              </w:rPr>
              <w:t>--</w:t>
            </w:r>
          </w:p>
        </w:tc>
        <w:tc>
          <w:tcPr>
            <w:tcW w:w="990" w:type="dxa"/>
            <w:tcBorders>
              <w:top w:val="single" w:sz="4" w:space="0" w:color="auto"/>
              <w:left w:val="single" w:sz="4" w:space="0" w:color="auto"/>
              <w:bottom w:val="single" w:sz="4" w:space="0" w:color="auto"/>
              <w:right w:val="single" w:sz="4" w:space="0" w:color="auto"/>
            </w:tcBorders>
            <w:vAlign w:val="center"/>
          </w:tcPr>
          <w:p w14:paraId="5D3C81EA" w14:textId="77777777" w:rsidR="00874955" w:rsidRPr="00874955" w:rsidRDefault="00874955" w:rsidP="00874955">
            <w:pPr>
              <w:pStyle w:val="LFTTabletext"/>
              <w:spacing w:line="20" w:lineRule="atLeast"/>
              <w:jc w:val="center"/>
              <w:rPr>
                <w:szCs w:val="18"/>
              </w:rPr>
            </w:pPr>
            <w:r w:rsidRPr="00874955">
              <w:rPr>
                <w:szCs w:val="18"/>
              </w:rPr>
              <w:t>--</w:t>
            </w:r>
          </w:p>
        </w:tc>
      </w:tr>
      <w:tr w:rsidR="00874955" w:rsidRPr="00874955" w14:paraId="5EBCD819" w14:textId="77777777" w:rsidTr="002A44BB">
        <w:trPr>
          <w:gridAfter w:val="3"/>
          <w:wAfter w:w="189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7885C13" w14:textId="77777777" w:rsidR="00874955" w:rsidRPr="00874955" w:rsidRDefault="00874955" w:rsidP="00874955">
            <w:pPr>
              <w:pStyle w:val="LFTTabletext"/>
              <w:spacing w:line="20" w:lineRule="atLeast"/>
              <w:jc w:val="center"/>
              <w:rPr>
                <w:szCs w:val="18"/>
              </w:rPr>
            </w:pPr>
            <w:r w:rsidRPr="00874955">
              <w:rPr>
                <w:szCs w:val="18"/>
              </w:rPr>
              <w:t>Median</w:t>
            </w:r>
            <w:r w:rsidRPr="00874955">
              <w:rPr>
                <w:szCs w:val="18"/>
                <w:vertAlign w:val="superscript"/>
              </w:rPr>
              <w:t>1</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5410AAA" w14:textId="77777777" w:rsidR="00874955" w:rsidRPr="00874955" w:rsidRDefault="00874955" w:rsidP="00874955">
            <w:pPr>
              <w:pStyle w:val="LFTTabletext"/>
              <w:spacing w:line="20" w:lineRule="atLeast"/>
              <w:jc w:val="center"/>
              <w:rPr>
                <w:szCs w:val="18"/>
              </w:rPr>
            </w:pPr>
            <w:r w:rsidRPr="00874955">
              <w:rPr>
                <w:szCs w:val="18"/>
              </w:rPr>
              <w:t>--</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B42D35B"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DB31B5B"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B2D4EF9"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43B62ED" w14:textId="77777777" w:rsidR="00874955" w:rsidRPr="00874955" w:rsidRDefault="00874955" w:rsidP="00874955">
            <w:pPr>
              <w:pStyle w:val="LFTTabletext"/>
              <w:spacing w:line="20" w:lineRule="atLeast"/>
              <w:jc w:val="center"/>
              <w:rPr>
                <w:szCs w:val="18"/>
              </w:rPr>
            </w:pPr>
            <w:r w:rsidRPr="00874955">
              <w:rPr>
                <w:szCs w:val="18"/>
              </w:rPr>
              <w:t>250</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54EE7FA" w14:textId="77777777" w:rsidR="00874955" w:rsidRPr="00874955" w:rsidRDefault="00874955" w:rsidP="00874955">
            <w:pPr>
              <w:pStyle w:val="LFTTabletext"/>
              <w:spacing w:line="20" w:lineRule="atLeast"/>
              <w:jc w:val="center"/>
              <w:rPr>
                <w:szCs w:val="18"/>
              </w:rPr>
            </w:pPr>
            <w:r w:rsidRPr="00874955">
              <w:rPr>
                <w:szCs w:val="18"/>
              </w:rPr>
              <w:t>22</w:t>
            </w:r>
          </w:p>
        </w:tc>
        <w:tc>
          <w:tcPr>
            <w:tcW w:w="990" w:type="dxa"/>
            <w:tcBorders>
              <w:top w:val="single" w:sz="4" w:space="0" w:color="auto"/>
              <w:left w:val="single" w:sz="4" w:space="0" w:color="auto"/>
              <w:bottom w:val="single" w:sz="4" w:space="0" w:color="auto"/>
              <w:right w:val="single" w:sz="4" w:space="0" w:color="auto"/>
            </w:tcBorders>
            <w:vAlign w:val="center"/>
          </w:tcPr>
          <w:p w14:paraId="1F263F68" w14:textId="77777777" w:rsidR="00874955" w:rsidRPr="00874955" w:rsidRDefault="00874955" w:rsidP="00874955">
            <w:pPr>
              <w:pStyle w:val="LFTTabletext"/>
              <w:spacing w:line="20" w:lineRule="atLeast"/>
              <w:jc w:val="center"/>
              <w:rPr>
                <w:szCs w:val="18"/>
              </w:rPr>
            </w:pPr>
            <w:r w:rsidRPr="00874955">
              <w:rPr>
                <w:szCs w:val="18"/>
              </w:rPr>
              <w:t>--</w:t>
            </w:r>
          </w:p>
        </w:tc>
        <w:tc>
          <w:tcPr>
            <w:tcW w:w="990" w:type="dxa"/>
            <w:tcBorders>
              <w:top w:val="single" w:sz="4" w:space="0" w:color="auto"/>
              <w:left w:val="single" w:sz="4" w:space="0" w:color="auto"/>
              <w:bottom w:val="single" w:sz="4" w:space="0" w:color="auto"/>
              <w:right w:val="single" w:sz="4" w:space="0" w:color="auto"/>
            </w:tcBorders>
            <w:vAlign w:val="center"/>
          </w:tcPr>
          <w:p w14:paraId="195B4D9A" w14:textId="77777777" w:rsidR="00874955" w:rsidRPr="00874955" w:rsidRDefault="00874955" w:rsidP="00874955">
            <w:pPr>
              <w:pStyle w:val="LFTTabletext"/>
              <w:spacing w:line="20" w:lineRule="atLeast"/>
              <w:jc w:val="center"/>
              <w:rPr>
                <w:szCs w:val="18"/>
              </w:rPr>
            </w:pPr>
            <w:r w:rsidRPr="00874955">
              <w:rPr>
                <w:szCs w:val="18"/>
              </w:rPr>
              <w:t>--</w:t>
            </w:r>
          </w:p>
        </w:tc>
      </w:tr>
      <w:tr w:rsidR="00874955" w:rsidRPr="00874955" w14:paraId="477847D0" w14:textId="77777777" w:rsidTr="002A44BB">
        <w:trPr>
          <w:gridAfter w:val="3"/>
          <w:wAfter w:w="1890" w:type="dxa"/>
          <w:trHeight w:val="20"/>
        </w:trPr>
        <w:tc>
          <w:tcPr>
            <w:tcW w:w="2444" w:type="dxa"/>
            <w:gridSpan w:val="2"/>
            <w:tcBorders>
              <w:top w:val="single" w:sz="4" w:space="0" w:color="auto"/>
              <w:left w:val="single" w:sz="4" w:space="0" w:color="auto"/>
              <w:bottom w:val="single" w:sz="4" w:space="0" w:color="auto"/>
            </w:tcBorders>
            <w:shd w:val="clear" w:color="auto" w:fill="9CCEF0" w:themeFill="accent4" w:themeFillShade="E6"/>
            <w:noWrap/>
            <w:tcMar>
              <w:top w:w="14" w:type="dxa"/>
              <w:left w:w="14" w:type="dxa"/>
              <w:bottom w:w="0" w:type="dxa"/>
              <w:right w:w="14" w:type="dxa"/>
            </w:tcMar>
            <w:vAlign w:val="center"/>
          </w:tcPr>
          <w:p w14:paraId="0DBB180B" w14:textId="77777777" w:rsidR="00874955" w:rsidRPr="00874955" w:rsidRDefault="00874955" w:rsidP="00874955">
            <w:pPr>
              <w:pStyle w:val="LFTTabletext"/>
              <w:spacing w:line="20" w:lineRule="atLeast"/>
              <w:jc w:val="center"/>
              <w:rPr>
                <w:szCs w:val="18"/>
              </w:rPr>
            </w:pPr>
            <w:r w:rsidRPr="00874955">
              <w:rPr>
                <w:szCs w:val="18"/>
              </w:rPr>
              <w:t>Transport Related</w:t>
            </w:r>
            <w:r w:rsidRPr="00874955">
              <w:rPr>
                <w:szCs w:val="18"/>
                <w:vertAlign w:val="superscript"/>
              </w:rPr>
              <w:t>5</w:t>
            </w:r>
          </w:p>
        </w:tc>
        <w:tc>
          <w:tcPr>
            <w:tcW w:w="810" w:type="dxa"/>
            <w:tcBorders>
              <w:top w:val="single" w:sz="4" w:space="0" w:color="auto"/>
              <w:bottom w:val="single" w:sz="4" w:space="0" w:color="auto"/>
            </w:tcBorders>
            <w:shd w:val="clear" w:color="auto" w:fill="9CCEF0" w:themeFill="accent4" w:themeFillShade="E6"/>
            <w:noWrap/>
            <w:tcMar>
              <w:top w:w="14" w:type="dxa"/>
              <w:left w:w="14" w:type="dxa"/>
              <w:bottom w:w="0" w:type="dxa"/>
              <w:right w:w="14" w:type="dxa"/>
            </w:tcMar>
            <w:vAlign w:val="center"/>
          </w:tcPr>
          <w:p w14:paraId="5D96131E" w14:textId="77777777" w:rsidR="00874955" w:rsidRPr="00874955" w:rsidRDefault="00874955" w:rsidP="00874955">
            <w:pPr>
              <w:pStyle w:val="LFTTabletext"/>
              <w:spacing w:line="20" w:lineRule="atLeast"/>
              <w:jc w:val="center"/>
              <w:rPr>
                <w:szCs w:val="18"/>
              </w:rPr>
            </w:pPr>
          </w:p>
        </w:tc>
        <w:tc>
          <w:tcPr>
            <w:tcW w:w="810" w:type="dxa"/>
            <w:tcBorders>
              <w:top w:val="single" w:sz="4" w:space="0" w:color="auto"/>
              <w:bottom w:val="single" w:sz="4" w:space="0" w:color="auto"/>
            </w:tcBorders>
            <w:shd w:val="clear" w:color="auto" w:fill="9CCEF0" w:themeFill="accent4" w:themeFillShade="E6"/>
            <w:noWrap/>
            <w:tcMar>
              <w:top w:w="14" w:type="dxa"/>
              <w:left w:w="14" w:type="dxa"/>
              <w:bottom w:w="0" w:type="dxa"/>
              <w:right w:w="14" w:type="dxa"/>
            </w:tcMar>
            <w:vAlign w:val="center"/>
          </w:tcPr>
          <w:p w14:paraId="61685DC8" w14:textId="77777777" w:rsidR="00874955" w:rsidRPr="00874955" w:rsidRDefault="00874955" w:rsidP="00874955">
            <w:pPr>
              <w:pStyle w:val="LFTTabletext"/>
              <w:spacing w:line="20" w:lineRule="atLeast"/>
              <w:jc w:val="center"/>
              <w:rPr>
                <w:szCs w:val="18"/>
              </w:rPr>
            </w:pPr>
          </w:p>
        </w:tc>
        <w:tc>
          <w:tcPr>
            <w:tcW w:w="900" w:type="dxa"/>
            <w:tcBorders>
              <w:top w:val="single" w:sz="4" w:space="0" w:color="auto"/>
              <w:bottom w:val="single" w:sz="4" w:space="0" w:color="auto"/>
            </w:tcBorders>
            <w:shd w:val="clear" w:color="auto" w:fill="9CCEF0" w:themeFill="accent4" w:themeFillShade="E6"/>
            <w:noWrap/>
            <w:tcMar>
              <w:top w:w="14" w:type="dxa"/>
              <w:left w:w="14" w:type="dxa"/>
              <w:bottom w:w="0" w:type="dxa"/>
              <w:right w:w="14" w:type="dxa"/>
            </w:tcMar>
            <w:vAlign w:val="center"/>
          </w:tcPr>
          <w:p w14:paraId="7BE2B378" w14:textId="77777777" w:rsidR="00874955" w:rsidRPr="00874955" w:rsidRDefault="00874955" w:rsidP="00874955">
            <w:pPr>
              <w:pStyle w:val="LFTTabletext"/>
              <w:spacing w:line="20" w:lineRule="atLeast"/>
              <w:jc w:val="center"/>
              <w:rPr>
                <w:szCs w:val="18"/>
              </w:rPr>
            </w:pPr>
          </w:p>
        </w:tc>
        <w:tc>
          <w:tcPr>
            <w:tcW w:w="900" w:type="dxa"/>
            <w:tcBorders>
              <w:top w:val="single" w:sz="4" w:space="0" w:color="auto"/>
              <w:bottom w:val="single" w:sz="4" w:space="0" w:color="auto"/>
            </w:tcBorders>
            <w:shd w:val="clear" w:color="auto" w:fill="9CCEF0" w:themeFill="accent4" w:themeFillShade="E6"/>
            <w:noWrap/>
            <w:tcMar>
              <w:top w:w="14" w:type="dxa"/>
              <w:left w:w="14" w:type="dxa"/>
              <w:bottom w:w="0" w:type="dxa"/>
              <w:right w:w="14" w:type="dxa"/>
            </w:tcMar>
            <w:vAlign w:val="center"/>
          </w:tcPr>
          <w:p w14:paraId="430BFF6D" w14:textId="77777777" w:rsidR="00874955" w:rsidRPr="00874955" w:rsidRDefault="00874955" w:rsidP="00874955">
            <w:pPr>
              <w:pStyle w:val="LFTTabletext"/>
              <w:spacing w:line="20" w:lineRule="atLeast"/>
              <w:jc w:val="center"/>
              <w:rPr>
                <w:szCs w:val="18"/>
              </w:rPr>
            </w:pPr>
          </w:p>
        </w:tc>
        <w:tc>
          <w:tcPr>
            <w:tcW w:w="900" w:type="dxa"/>
            <w:tcBorders>
              <w:top w:val="single" w:sz="4" w:space="0" w:color="auto"/>
              <w:bottom w:val="single" w:sz="4" w:space="0" w:color="auto"/>
            </w:tcBorders>
            <w:shd w:val="clear" w:color="auto" w:fill="9CCEF0" w:themeFill="accent4" w:themeFillShade="E6"/>
            <w:noWrap/>
            <w:tcMar>
              <w:top w:w="14" w:type="dxa"/>
              <w:left w:w="14" w:type="dxa"/>
              <w:bottom w:w="0" w:type="dxa"/>
              <w:right w:w="14" w:type="dxa"/>
            </w:tcMar>
            <w:vAlign w:val="center"/>
          </w:tcPr>
          <w:p w14:paraId="3E52C3C0" w14:textId="77777777" w:rsidR="00874955" w:rsidRPr="00874955" w:rsidRDefault="00874955" w:rsidP="00874955">
            <w:pPr>
              <w:pStyle w:val="LFTTabletext"/>
              <w:spacing w:line="20" w:lineRule="atLeast"/>
              <w:jc w:val="center"/>
              <w:rPr>
                <w:szCs w:val="18"/>
              </w:rPr>
            </w:pPr>
          </w:p>
        </w:tc>
        <w:tc>
          <w:tcPr>
            <w:tcW w:w="900" w:type="dxa"/>
            <w:tcBorders>
              <w:top w:val="single" w:sz="4" w:space="0" w:color="auto"/>
              <w:bottom w:val="single" w:sz="4" w:space="0" w:color="auto"/>
            </w:tcBorders>
            <w:shd w:val="clear" w:color="auto" w:fill="9CCEF0" w:themeFill="accent4" w:themeFillShade="E6"/>
            <w:noWrap/>
            <w:tcMar>
              <w:top w:w="14" w:type="dxa"/>
              <w:left w:w="14" w:type="dxa"/>
              <w:bottom w:w="0" w:type="dxa"/>
              <w:right w:w="14" w:type="dxa"/>
            </w:tcMar>
            <w:vAlign w:val="center"/>
          </w:tcPr>
          <w:p w14:paraId="082C7DB6" w14:textId="77777777" w:rsidR="00874955" w:rsidRPr="00874955" w:rsidRDefault="00874955" w:rsidP="00874955">
            <w:pPr>
              <w:pStyle w:val="LFTTabletext"/>
              <w:spacing w:line="20" w:lineRule="atLeast"/>
              <w:jc w:val="center"/>
              <w:rPr>
                <w:szCs w:val="18"/>
              </w:rPr>
            </w:pPr>
          </w:p>
        </w:tc>
        <w:tc>
          <w:tcPr>
            <w:tcW w:w="990" w:type="dxa"/>
            <w:tcBorders>
              <w:top w:val="single" w:sz="4" w:space="0" w:color="auto"/>
              <w:bottom w:val="single" w:sz="4" w:space="0" w:color="auto"/>
            </w:tcBorders>
            <w:shd w:val="clear" w:color="auto" w:fill="9CCEF0" w:themeFill="accent4" w:themeFillShade="E6"/>
            <w:vAlign w:val="center"/>
          </w:tcPr>
          <w:p w14:paraId="2DDF643E" w14:textId="77777777" w:rsidR="00874955" w:rsidRPr="00874955" w:rsidRDefault="00874955" w:rsidP="00874955">
            <w:pPr>
              <w:pStyle w:val="LFTTabletext"/>
              <w:spacing w:line="20" w:lineRule="atLeast"/>
              <w:jc w:val="center"/>
              <w:rPr>
                <w:szCs w:val="18"/>
              </w:rPr>
            </w:pPr>
          </w:p>
        </w:tc>
        <w:tc>
          <w:tcPr>
            <w:tcW w:w="990" w:type="dxa"/>
            <w:tcBorders>
              <w:top w:val="single" w:sz="4" w:space="0" w:color="auto"/>
              <w:bottom w:val="single" w:sz="4" w:space="0" w:color="auto"/>
              <w:right w:val="single" w:sz="4" w:space="0" w:color="auto"/>
            </w:tcBorders>
            <w:shd w:val="clear" w:color="auto" w:fill="9CCEF0" w:themeFill="accent4" w:themeFillShade="E6"/>
            <w:vAlign w:val="center"/>
          </w:tcPr>
          <w:p w14:paraId="6E15700B" w14:textId="77777777" w:rsidR="00874955" w:rsidRPr="00874955" w:rsidRDefault="00874955" w:rsidP="00874955">
            <w:pPr>
              <w:pStyle w:val="LFTTabletext"/>
              <w:spacing w:line="20" w:lineRule="atLeast"/>
              <w:jc w:val="center"/>
              <w:rPr>
                <w:szCs w:val="18"/>
              </w:rPr>
            </w:pPr>
          </w:p>
        </w:tc>
      </w:tr>
      <w:tr w:rsidR="00874955" w:rsidRPr="00874955" w14:paraId="5D9173E5" w14:textId="77777777" w:rsidTr="00874955">
        <w:trPr>
          <w:gridAfter w:val="3"/>
          <w:wAfter w:w="1890" w:type="dxa"/>
          <w:trHeight w:val="20"/>
        </w:trPr>
        <w:tc>
          <w:tcPr>
            <w:tcW w:w="2444" w:type="dxa"/>
            <w:gridSpan w:val="2"/>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tcPr>
          <w:p w14:paraId="6C67CD1A" w14:textId="77777777" w:rsidR="00874955" w:rsidRPr="00874955" w:rsidRDefault="00874955" w:rsidP="00874955">
            <w:pPr>
              <w:pStyle w:val="LFTTabletext"/>
              <w:spacing w:line="20" w:lineRule="atLeast"/>
              <w:jc w:val="center"/>
              <w:rPr>
                <w:szCs w:val="18"/>
              </w:rPr>
            </w:pPr>
            <w:r w:rsidRPr="00874955">
              <w:rPr>
                <w:szCs w:val="18"/>
              </w:rPr>
              <w:t>Number of sites</w:t>
            </w:r>
          </w:p>
        </w:tc>
        <w:tc>
          <w:tcPr>
            <w:tcW w:w="810"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tcPr>
          <w:p w14:paraId="653456C7" w14:textId="77777777" w:rsidR="00874955" w:rsidRPr="00874955" w:rsidRDefault="00874955" w:rsidP="00874955">
            <w:pPr>
              <w:pStyle w:val="LFTTabletext"/>
              <w:spacing w:line="20" w:lineRule="atLeast"/>
              <w:jc w:val="center"/>
              <w:rPr>
                <w:szCs w:val="18"/>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tcPr>
          <w:p w14:paraId="23F205B5" w14:textId="77777777" w:rsidR="00874955" w:rsidRPr="00874955" w:rsidRDefault="00874955" w:rsidP="00874955">
            <w:pPr>
              <w:pStyle w:val="LFTTabletext"/>
              <w:spacing w:line="20" w:lineRule="atLeast"/>
              <w:jc w:val="center"/>
              <w:rPr>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tcPr>
          <w:p w14:paraId="16D1BC6F" w14:textId="77777777" w:rsidR="00874955" w:rsidRPr="00874955" w:rsidRDefault="00874955" w:rsidP="00874955">
            <w:pPr>
              <w:pStyle w:val="LFTTabletext"/>
              <w:spacing w:line="20" w:lineRule="atLeast"/>
              <w:jc w:val="center"/>
              <w:rPr>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tcPr>
          <w:p w14:paraId="0736B356" w14:textId="77777777" w:rsidR="00874955" w:rsidRPr="00874955" w:rsidRDefault="00874955" w:rsidP="00874955">
            <w:pPr>
              <w:pStyle w:val="LFTTabletext"/>
              <w:spacing w:line="20" w:lineRule="atLeast"/>
              <w:jc w:val="center"/>
              <w:rPr>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tcPr>
          <w:p w14:paraId="588AA8E2"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tcPr>
          <w:p w14:paraId="5A7DBA3F" w14:textId="77777777" w:rsidR="00874955" w:rsidRPr="00874955" w:rsidRDefault="00874955" w:rsidP="00874955">
            <w:pPr>
              <w:pStyle w:val="LFTTabletext"/>
              <w:spacing w:line="20" w:lineRule="atLeast"/>
              <w:jc w:val="center"/>
              <w:rPr>
                <w:szCs w:val="18"/>
              </w:rPr>
            </w:pPr>
            <w:r w:rsidRPr="00874955">
              <w:rPr>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45EDC0E" w14:textId="77777777" w:rsidR="00874955" w:rsidRPr="00874955" w:rsidRDefault="00874955" w:rsidP="00874955">
            <w:pPr>
              <w:pStyle w:val="LFTTabletext"/>
              <w:spacing w:line="20" w:lineRule="atLeast"/>
              <w:jc w:val="center"/>
              <w:rPr>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62CBE67" w14:textId="77777777" w:rsidR="00874955" w:rsidRPr="00874955" w:rsidRDefault="00874955" w:rsidP="00874955">
            <w:pPr>
              <w:pStyle w:val="LFTTabletext"/>
              <w:spacing w:line="20" w:lineRule="atLeast"/>
              <w:jc w:val="center"/>
              <w:rPr>
                <w:szCs w:val="18"/>
              </w:rPr>
            </w:pPr>
            <w:r w:rsidRPr="00874955">
              <w:rPr>
                <w:szCs w:val="18"/>
              </w:rPr>
              <w:t>--</w:t>
            </w:r>
          </w:p>
        </w:tc>
      </w:tr>
      <w:tr w:rsidR="00874955" w:rsidRPr="00874955" w14:paraId="49BD76FC" w14:textId="77777777" w:rsidTr="00874955">
        <w:trPr>
          <w:gridAfter w:val="3"/>
          <w:wAfter w:w="1890" w:type="dxa"/>
          <w:trHeight w:val="20"/>
        </w:trPr>
        <w:tc>
          <w:tcPr>
            <w:tcW w:w="2444" w:type="dxa"/>
            <w:gridSpan w:val="2"/>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tcPr>
          <w:p w14:paraId="30180969" w14:textId="77777777" w:rsidR="00874955" w:rsidRPr="00874955" w:rsidRDefault="00874955" w:rsidP="00874955">
            <w:pPr>
              <w:pStyle w:val="LFTTabletext"/>
              <w:spacing w:line="20" w:lineRule="atLeast"/>
              <w:jc w:val="center"/>
              <w:rPr>
                <w:szCs w:val="18"/>
              </w:rPr>
            </w:pPr>
            <w:r w:rsidRPr="00874955">
              <w:rPr>
                <w:szCs w:val="18"/>
              </w:rPr>
              <w:t>Number of observations</w:t>
            </w:r>
          </w:p>
        </w:tc>
        <w:tc>
          <w:tcPr>
            <w:tcW w:w="810"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tcPr>
          <w:p w14:paraId="252DC63B" w14:textId="77777777" w:rsidR="00874955" w:rsidRPr="00874955" w:rsidRDefault="00874955" w:rsidP="00874955">
            <w:pPr>
              <w:pStyle w:val="LFTTabletext"/>
              <w:spacing w:line="20" w:lineRule="atLeast"/>
              <w:jc w:val="center"/>
              <w:rPr>
                <w:szCs w:val="18"/>
              </w:rPr>
            </w:pPr>
            <w:r w:rsidRPr="00874955">
              <w:rPr>
                <w:szCs w:val="18"/>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tcPr>
          <w:p w14:paraId="681A8B0A"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tcPr>
          <w:p w14:paraId="5D54F505"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tcPr>
          <w:p w14:paraId="1F489A5C"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tcPr>
          <w:p w14:paraId="3F567139" w14:textId="77777777" w:rsidR="00874955" w:rsidRPr="00874955" w:rsidRDefault="00874955" w:rsidP="00874955">
            <w:pPr>
              <w:pStyle w:val="LFTTabletext"/>
              <w:spacing w:line="20" w:lineRule="atLeast"/>
              <w:jc w:val="center"/>
              <w:rPr>
                <w:szCs w:val="18"/>
              </w:rPr>
            </w:pPr>
            <w:r w:rsidRPr="00874955">
              <w:rPr>
                <w:szCs w:val="18"/>
              </w:rPr>
              <w:t>3-16</w:t>
            </w:r>
          </w:p>
        </w:tc>
        <w:tc>
          <w:tcPr>
            <w:tcW w:w="900"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tcPr>
          <w:p w14:paraId="72425B37" w14:textId="77777777" w:rsidR="00874955" w:rsidRPr="00874955" w:rsidRDefault="00874955" w:rsidP="00874955">
            <w:pPr>
              <w:pStyle w:val="LFTTabletext"/>
              <w:spacing w:line="20" w:lineRule="atLeast"/>
              <w:jc w:val="center"/>
              <w:rPr>
                <w:szCs w:val="18"/>
              </w:rPr>
            </w:pPr>
            <w:r w:rsidRPr="00874955">
              <w:rPr>
                <w:szCs w:val="18"/>
              </w:rPr>
              <w:t>3-16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6B24011" w14:textId="77777777" w:rsidR="00874955" w:rsidRPr="00874955" w:rsidRDefault="00874955" w:rsidP="00874955">
            <w:pPr>
              <w:pStyle w:val="LFTTabletext"/>
              <w:spacing w:line="20" w:lineRule="atLeast"/>
              <w:jc w:val="center"/>
              <w:rPr>
                <w:szCs w:val="18"/>
              </w:rPr>
            </w:pPr>
            <w:r w:rsidRPr="00874955">
              <w:rPr>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F50CC61" w14:textId="77777777" w:rsidR="00874955" w:rsidRPr="00874955" w:rsidRDefault="00874955" w:rsidP="00874955">
            <w:pPr>
              <w:pStyle w:val="LFTTabletext"/>
              <w:spacing w:line="20" w:lineRule="atLeast"/>
              <w:jc w:val="center"/>
              <w:rPr>
                <w:szCs w:val="18"/>
              </w:rPr>
            </w:pPr>
            <w:r w:rsidRPr="00874955">
              <w:rPr>
                <w:szCs w:val="18"/>
              </w:rPr>
              <w:t>--</w:t>
            </w:r>
          </w:p>
        </w:tc>
      </w:tr>
      <w:tr w:rsidR="00874955" w:rsidRPr="00874955" w14:paraId="3135B940" w14:textId="77777777" w:rsidTr="00874955">
        <w:trPr>
          <w:gridAfter w:val="3"/>
          <w:wAfter w:w="189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48A81E9" w14:textId="77777777" w:rsidR="00874955" w:rsidRPr="00874955" w:rsidRDefault="00874955" w:rsidP="00874955">
            <w:pPr>
              <w:pStyle w:val="LFTTabletext"/>
              <w:spacing w:line="20" w:lineRule="atLeast"/>
              <w:jc w:val="center"/>
              <w:rPr>
                <w:szCs w:val="18"/>
              </w:rPr>
            </w:pPr>
            <w:r w:rsidRPr="00874955">
              <w:rPr>
                <w:szCs w:val="18"/>
              </w:rPr>
              <w:t>% of samples above the detection limit</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0A66B62" w14:textId="77777777" w:rsidR="00874955" w:rsidRPr="00874955" w:rsidRDefault="00874955" w:rsidP="00874955">
            <w:pPr>
              <w:pStyle w:val="LFTTabletext"/>
              <w:spacing w:line="20" w:lineRule="atLeast"/>
              <w:jc w:val="center"/>
              <w:rPr>
                <w:szCs w:val="18"/>
              </w:rPr>
            </w:pPr>
            <w:r w:rsidRPr="00874955">
              <w:rPr>
                <w:szCs w:val="18"/>
              </w:rPr>
              <w:t>--</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B728118"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2CF3E2D"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39110A0"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F37A084"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415D259" w14:textId="77777777" w:rsidR="00874955" w:rsidRPr="00874955" w:rsidRDefault="00874955" w:rsidP="00874955">
            <w:pPr>
              <w:pStyle w:val="LFTTabletext"/>
              <w:spacing w:line="20" w:lineRule="atLeast"/>
              <w:jc w:val="center"/>
              <w:rPr>
                <w:szCs w:val="18"/>
              </w:rPr>
            </w:pPr>
            <w:r w:rsidRPr="00874955">
              <w:rPr>
                <w:szCs w:val="18"/>
              </w:rPr>
              <w:t>--</w:t>
            </w:r>
          </w:p>
        </w:tc>
        <w:tc>
          <w:tcPr>
            <w:tcW w:w="990" w:type="dxa"/>
            <w:tcBorders>
              <w:top w:val="single" w:sz="4" w:space="0" w:color="auto"/>
              <w:left w:val="single" w:sz="4" w:space="0" w:color="auto"/>
              <w:bottom w:val="single" w:sz="4" w:space="0" w:color="auto"/>
              <w:right w:val="single" w:sz="4" w:space="0" w:color="auto"/>
            </w:tcBorders>
            <w:vAlign w:val="center"/>
          </w:tcPr>
          <w:p w14:paraId="04339DD7" w14:textId="77777777" w:rsidR="00874955" w:rsidRPr="00874955" w:rsidRDefault="00874955" w:rsidP="00874955">
            <w:pPr>
              <w:pStyle w:val="LFTTabletext"/>
              <w:spacing w:line="20" w:lineRule="atLeast"/>
              <w:jc w:val="center"/>
              <w:rPr>
                <w:szCs w:val="18"/>
              </w:rPr>
            </w:pPr>
            <w:r w:rsidRPr="00874955">
              <w:rPr>
                <w:szCs w:val="18"/>
              </w:rPr>
              <w:t>--</w:t>
            </w:r>
          </w:p>
        </w:tc>
        <w:tc>
          <w:tcPr>
            <w:tcW w:w="990" w:type="dxa"/>
            <w:tcBorders>
              <w:top w:val="single" w:sz="4" w:space="0" w:color="auto"/>
              <w:left w:val="single" w:sz="4" w:space="0" w:color="auto"/>
              <w:bottom w:val="single" w:sz="4" w:space="0" w:color="auto"/>
              <w:right w:val="single" w:sz="4" w:space="0" w:color="auto"/>
            </w:tcBorders>
            <w:vAlign w:val="center"/>
          </w:tcPr>
          <w:p w14:paraId="4B3AFE2C" w14:textId="77777777" w:rsidR="00874955" w:rsidRPr="00874955" w:rsidRDefault="00874955" w:rsidP="00874955">
            <w:pPr>
              <w:pStyle w:val="LFTTabletext"/>
              <w:spacing w:line="20" w:lineRule="atLeast"/>
              <w:jc w:val="center"/>
              <w:rPr>
                <w:szCs w:val="18"/>
              </w:rPr>
            </w:pPr>
            <w:r w:rsidRPr="00874955">
              <w:rPr>
                <w:szCs w:val="18"/>
              </w:rPr>
              <w:t>--</w:t>
            </w:r>
          </w:p>
        </w:tc>
      </w:tr>
      <w:tr w:rsidR="00874955" w:rsidRPr="00874955" w14:paraId="6C409492" w14:textId="77777777" w:rsidTr="00874955">
        <w:trPr>
          <w:gridAfter w:val="3"/>
          <w:wAfter w:w="189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51088DD" w14:textId="77777777" w:rsidR="00874955" w:rsidRPr="00874955" w:rsidRDefault="00874955" w:rsidP="00874955">
            <w:pPr>
              <w:pStyle w:val="LFTTabletext"/>
              <w:spacing w:line="20" w:lineRule="atLeast"/>
              <w:jc w:val="center"/>
              <w:rPr>
                <w:szCs w:val="18"/>
              </w:rPr>
            </w:pPr>
            <w:r w:rsidRPr="00874955">
              <w:rPr>
                <w:szCs w:val="18"/>
              </w:rPr>
              <w:t>Minimum</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65F8478" w14:textId="77777777" w:rsidR="00874955" w:rsidRPr="00874955" w:rsidRDefault="00874955" w:rsidP="00874955">
            <w:pPr>
              <w:pStyle w:val="LFTTabletext"/>
              <w:spacing w:line="20" w:lineRule="atLeast"/>
              <w:jc w:val="center"/>
              <w:rPr>
                <w:szCs w:val="18"/>
              </w:rPr>
            </w:pPr>
            <w:r w:rsidRPr="00874955">
              <w:rPr>
                <w:szCs w:val="18"/>
              </w:rPr>
              <w:t>--</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9699E92"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3F542F9"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3170E91"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696AEC9" w14:textId="77777777" w:rsidR="00874955" w:rsidRPr="00874955" w:rsidRDefault="00874955" w:rsidP="00874955">
            <w:pPr>
              <w:pStyle w:val="LFTTabletext"/>
              <w:spacing w:line="20" w:lineRule="atLeast"/>
              <w:jc w:val="center"/>
              <w:rPr>
                <w:szCs w:val="18"/>
              </w:rPr>
            </w:pPr>
            <w:r w:rsidRPr="00874955">
              <w:rPr>
                <w:szCs w:val="18"/>
              </w:rPr>
              <w:t>1.0</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DBC3441" w14:textId="77777777" w:rsidR="00874955" w:rsidRPr="00874955" w:rsidRDefault="00874955" w:rsidP="00874955">
            <w:pPr>
              <w:pStyle w:val="LFTTabletext"/>
              <w:spacing w:line="20" w:lineRule="atLeast"/>
              <w:jc w:val="center"/>
              <w:rPr>
                <w:szCs w:val="18"/>
              </w:rPr>
            </w:pPr>
            <w:r w:rsidRPr="00874955">
              <w:rPr>
                <w:szCs w:val="18"/>
              </w:rPr>
              <w:t>2</w:t>
            </w:r>
          </w:p>
        </w:tc>
        <w:tc>
          <w:tcPr>
            <w:tcW w:w="990" w:type="dxa"/>
            <w:tcBorders>
              <w:top w:val="single" w:sz="4" w:space="0" w:color="auto"/>
              <w:left w:val="single" w:sz="4" w:space="0" w:color="auto"/>
              <w:bottom w:val="single" w:sz="4" w:space="0" w:color="auto"/>
              <w:right w:val="single" w:sz="4" w:space="0" w:color="auto"/>
            </w:tcBorders>
            <w:vAlign w:val="center"/>
          </w:tcPr>
          <w:p w14:paraId="782D7647" w14:textId="77777777" w:rsidR="00874955" w:rsidRPr="00874955" w:rsidRDefault="00874955" w:rsidP="00874955">
            <w:pPr>
              <w:pStyle w:val="LFTTabletext"/>
              <w:spacing w:line="20" w:lineRule="atLeast"/>
              <w:jc w:val="center"/>
              <w:rPr>
                <w:szCs w:val="18"/>
              </w:rPr>
            </w:pPr>
            <w:r w:rsidRPr="00874955">
              <w:rPr>
                <w:szCs w:val="18"/>
              </w:rPr>
              <w:t>--</w:t>
            </w:r>
          </w:p>
        </w:tc>
        <w:tc>
          <w:tcPr>
            <w:tcW w:w="990" w:type="dxa"/>
            <w:tcBorders>
              <w:top w:val="single" w:sz="4" w:space="0" w:color="auto"/>
              <w:left w:val="single" w:sz="4" w:space="0" w:color="auto"/>
              <w:bottom w:val="single" w:sz="4" w:space="0" w:color="auto"/>
              <w:right w:val="single" w:sz="4" w:space="0" w:color="auto"/>
            </w:tcBorders>
            <w:vAlign w:val="center"/>
          </w:tcPr>
          <w:p w14:paraId="031F8BBD" w14:textId="77777777" w:rsidR="00874955" w:rsidRPr="00874955" w:rsidRDefault="00874955" w:rsidP="00874955">
            <w:pPr>
              <w:pStyle w:val="LFTTabletext"/>
              <w:spacing w:line="20" w:lineRule="atLeast"/>
              <w:jc w:val="center"/>
              <w:rPr>
                <w:szCs w:val="18"/>
              </w:rPr>
            </w:pPr>
            <w:r w:rsidRPr="00874955">
              <w:rPr>
                <w:szCs w:val="18"/>
              </w:rPr>
              <w:t>--</w:t>
            </w:r>
          </w:p>
        </w:tc>
      </w:tr>
      <w:tr w:rsidR="00874955" w:rsidRPr="00874955" w14:paraId="6E583830" w14:textId="77777777" w:rsidTr="00874955">
        <w:trPr>
          <w:gridAfter w:val="3"/>
          <w:wAfter w:w="189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49086C0" w14:textId="77777777" w:rsidR="00874955" w:rsidRPr="00874955" w:rsidRDefault="00874955" w:rsidP="00874955">
            <w:pPr>
              <w:pStyle w:val="LFTTabletext"/>
              <w:spacing w:line="20" w:lineRule="atLeast"/>
              <w:jc w:val="center"/>
              <w:rPr>
                <w:szCs w:val="18"/>
              </w:rPr>
            </w:pPr>
            <w:r w:rsidRPr="00874955">
              <w:rPr>
                <w:szCs w:val="18"/>
              </w:rPr>
              <w:t>Maximum</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78E38E9" w14:textId="77777777" w:rsidR="00874955" w:rsidRPr="00874955" w:rsidRDefault="00874955" w:rsidP="00874955">
            <w:pPr>
              <w:pStyle w:val="LFTTabletext"/>
              <w:spacing w:line="20" w:lineRule="atLeast"/>
              <w:jc w:val="center"/>
              <w:rPr>
                <w:szCs w:val="18"/>
              </w:rPr>
            </w:pPr>
            <w:r w:rsidRPr="00874955">
              <w:rPr>
                <w:szCs w:val="18"/>
              </w:rPr>
              <w:t>--</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62A0F38"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696C99B"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1C13F97"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DB13622" w14:textId="77777777" w:rsidR="00874955" w:rsidRPr="00874955" w:rsidRDefault="00874955" w:rsidP="00874955">
            <w:pPr>
              <w:pStyle w:val="LFTTabletext"/>
              <w:spacing w:line="20" w:lineRule="atLeast"/>
              <w:jc w:val="center"/>
              <w:rPr>
                <w:szCs w:val="18"/>
              </w:rPr>
            </w:pPr>
            <w:r w:rsidRPr="00874955">
              <w:rPr>
                <w:szCs w:val="18"/>
              </w:rPr>
              <w:t>61</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2768B9F" w14:textId="77777777" w:rsidR="00874955" w:rsidRPr="00874955" w:rsidRDefault="00874955" w:rsidP="00874955">
            <w:pPr>
              <w:pStyle w:val="LFTTabletext"/>
              <w:spacing w:line="20" w:lineRule="atLeast"/>
              <w:jc w:val="center"/>
              <w:rPr>
                <w:szCs w:val="18"/>
              </w:rPr>
            </w:pPr>
            <w:r w:rsidRPr="00874955">
              <w:rPr>
                <w:szCs w:val="18"/>
              </w:rPr>
              <w:t>560</w:t>
            </w:r>
          </w:p>
        </w:tc>
        <w:tc>
          <w:tcPr>
            <w:tcW w:w="990" w:type="dxa"/>
            <w:tcBorders>
              <w:top w:val="single" w:sz="4" w:space="0" w:color="auto"/>
              <w:left w:val="single" w:sz="4" w:space="0" w:color="auto"/>
              <w:bottom w:val="single" w:sz="4" w:space="0" w:color="auto"/>
              <w:right w:val="single" w:sz="4" w:space="0" w:color="auto"/>
            </w:tcBorders>
            <w:vAlign w:val="center"/>
          </w:tcPr>
          <w:p w14:paraId="28D7215D" w14:textId="77777777" w:rsidR="00874955" w:rsidRPr="00874955" w:rsidRDefault="00874955" w:rsidP="00874955">
            <w:pPr>
              <w:pStyle w:val="LFTTabletext"/>
              <w:spacing w:line="20" w:lineRule="atLeast"/>
              <w:jc w:val="center"/>
              <w:rPr>
                <w:szCs w:val="18"/>
              </w:rPr>
            </w:pPr>
            <w:r w:rsidRPr="00874955">
              <w:rPr>
                <w:szCs w:val="18"/>
              </w:rPr>
              <w:t>--</w:t>
            </w:r>
          </w:p>
        </w:tc>
        <w:tc>
          <w:tcPr>
            <w:tcW w:w="990" w:type="dxa"/>
            <w:tcBorders>
              <w:top w:val="single" w:sz="4" w:space="0" w:color="auto"/>
              <w:left w:val="single" w:sz="4" w:space="0" w:color="auto"/>
              <w:bottom w:val="single" w:sz="4" w:space="0" w:color="auto"/>
              <w:right w:val="single" w:sz="4" w:space="0" w:color="auto"/>
            </w:tcBorders>
            <w:vAlign w:val="center"/>
          </w:tcPr>
          <w:p w14:paraId="6027B504" w14:textId="77777777" w:rsidR="00874955" w:rsidRPr="00874955" w:rsidRDefault="00874955" w:rsidP="00874955">
            <w:pPr>
              <w:pStyle w:val="LFTTabletext"/>
              <w:spacing w:line="20" w:lineRule="atLeast"/>
              <w:jc w:val="center"/>
              <w:rPr>
                <w:szCs w:val="18"/>
              </w:rPr>
            </w:pPr>
            <w:r w:rsidRPr="00874955">
              <w:rPr>
                <w:szCs w:val="18"/>
              </w:rPr>
              <w:t>--</w:t>
            </w:r>
          </w:p>
        </w:tc>
      </w:tr>
      <w:tr w:rsidR="00874955" w:rsidRPr="00874955" w14:paraId="1F4D4EF9" w14:textId="77777777" w:rsidTr="00874955">
        <w:trPr>
          <w:gridAfter w:val="3"/>
          <w:wAfter w:w="189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9706C31" w14:textId="77777777" w:rsidR="00874955" w:rsidRPr="00874955" w:rsidRDefault="00874955" w:rsidP="00874955">
            <w:pPr>
              <w:pStyle w:val="LFTTabletext"/>
              <w:spacing w:line="20" w:lineRule="atLeast"/>
              <w:jc w:val="center"/>
              <w:rPr>
                <w:szCs w:val="18"/>
              </w:rPr>
            </w:pPr>
            <w:r w:rsidRPr="00874955">
              <w:rPr>
                <w:szCs w:val="18"/>
              </w:rPr>
              <w:t>Median</w:t>
            </w:r>
            <w:r w:rsidRPr="00874955">
              <w:rPr>
                <w:szCs w:val="18"/>
                <w:vertAlign w:val="superscript"/>
              </w:rPr>
              <w:t>1</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8F37D39" w14:textId="77777777" w:rsidR="00874955" w:rsidRPr="00874955" w:rsidRDefault="00874955" w:rsidP="00874955">
            <w:pPr>
              <w:pStyle w:val="LFTTabletext"/>
              <w:spacing w:line="20" w:lineRule="atLeast"/>
              <w:jc w:val="center"/>
              <w:rPr>
                <w:szCs w:val="18"/>
              </w:rPr>
            </w:pPr>
            <w:r w:rsidRPr="00874955">
              <w:rPr>
                <w:szCs w:val="18"/>
              </w:rPr>
              <w:t>--</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017E35A"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F79C00D"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CC969B9" w14:textId="77777777" w:rsidR="00874955" w:rsidRPr="00874955" w:rsidRDefault="00874955" w:rsidP="00874955">
            <w:pPr>
              <w:pStyle w:val="LFTTabletext"/>
              <w:spacing w:line="20" w:lineRule="atLeast"/>
              <w:jc w:val="center"/>
              <w:rPr>
                <w:szCs w:val="18"/>
              </w:rPr>
            </w:pPr>
            <w:r w:rsidRPr="00874955">
              <w:rPr>
                <w:szCs w:val="18"/>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5E99E1E" w14:textId="77777777" w:rsidR="00874955" w:rsidRPr="00874955" w:rsidRDefault="00874955" w:rsidP="00874955">
            <w:pPr>
              <w:pStyle w:val="LFTTabletext"/>
              <w:spacing w:line="20" w:lineRule="atLeast"/>
              <w:jc w:val="center"/>
              <w:rPr>
                <w:szCs w:val="18"/>
              </w:rPr>
            </w:pPr>
            <w:r w:rsidRPr="00874955">
              <w:rPr>
                <w:szCs w:val="18"/>
              </w:rPr>
              <w:t>6.7</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E63E2C8" w14:textId="77777777" w:rsidR="00874955" w:rsidRPr="00874955" w:rsidRDefault="00874955" w:rsidP="00874955">
            <w:pPr>
              <w:pStyle w:val="LFTTabletext"/>
              <w:spacing w:line="20" w:lineRule="atLeast"/>
              <w:jc w:val="center"/>
              <w:rPr>
                <w:szCs w:val="18"/>
              </w:rPr>
            </w:pPr>
            <w:r w:rsidRPr="00874955">
              <w:rPr>
                <w:szCs w:val="18"/>
              </w:rPr>
              <w:t>23.5</w:t>
            </w:r>
          </w:p>
        </w:tc>
        <w:tc>
          <w:tcPr>
            <w:tcW w:w="990" w:type="dxa"/>
            <w:tcBorders>
              <w:top w:val="single" w:sz="4" w:space="0" w:color="auto"/>
              <w:left w:val="single" w:sz="4" w:space="0" w:color="auto"/>
              <w:bottom w:val="single" w:sz="4" w:space="0" w:color="auto"/>
              <w:right w:val="single" w:sz="4" w:space="0" w:color="auto"/>
            </w:tcBorders>
            <w:vAlign w:val="center"/>
          </w:tcPr>
          <w:p w14:paraId="78FFCC20" w14:textId="77777777" w:rsidR="00874955" w:rsidRPr="00874955" w:rsidRDefault="00874955" w:rsidP="00874955">
            <w:pPr>
              <w:pStyle w:val="LFTTabletext"/>
              <w:spacing w:line="20" w:lineRule="atLeast"/>
              <w:jc w:val="center"/>
              <w:rPr>
                <w:szCs w:val="18"/>
              </w:rPr>
            </w:pPr>
            <w:r w:rsidRPr="00874955">
              <w:rPr>
                <w:szCs w:val="18"/>
              </w:rPr>
              <w:t>--</w:t>
            </w:r>
          </w:p>
        </w:tc>
        <w:tc>
          <w:tcPr>
            <w:tcW w:w="990" w:type="dxa"/>
            <w:tcBorders>
              <w:top w:val="single" w:sz="4" w:space="0" w:color="auto"/>
              <w:left w:val="single" w:sz="4" w:space="0" w:color="auto"/>
              <w:bottom w:val="single" w:sz="4" w:space="0" w:color="auto"/>
              <w:right w:val="single" w:sz="4" w:space="0" w:color="auto"/>
            </w:tcBorders>
            <w:vAlign w:val="center"/>
          </w:tcPr>
          <w:p w14:paraId="0846CDAE" w14:textId="77777777" w:rsidR="00874955" w:rsidRPr="00874955" w:rsidRDefault="00874955" w:rsidP="00874955">
            <w:pPr>
              <w:pStyle w:val="LFTTabletext"/>
              <w:spacing w:line="20" w:lineRule="atLeast"/>
              <w:jc w:val="center"/>
              <w:rPr>
                <w:szCs w:val="18"/>
              </w:rPr>
            </w:pPr>
            <w:r w:rsidRPr="00874955">
              <w:rPr>
                <w:szCs w:val="18"/>
              </w:rPr>
              <w:t>--</w:t>
            </w:r>
          </w:p>
        </w:tc>
      </w:tr>
    </w:tbl>
    <w:p w14:paraId="73DB7A39" w14:textId="6993640F" w:rsidR="00874955" w:rsidRPr="00874955" w:rsidRDefault="00874955" w:rsidP="00D3416B">
      <w:pPr>
        <w:pStyle w:val="LFTTabletext"/>
        <w:spacing w:after="0" w:line="240" w:lineRule="auto"/>
        <w:rPr>
          <w:szCs w:val="18"/>
        </w:rPr>
      </w:pPr>
      <w:r w:rsidRPr="00874955">
        <w:rPr>
          <w:szCs w:val="18"/>
          <w:vertAlign w:val="superscript"/>
        </w:rPr>
        <w:lastRenderedPageBreak/>
        <w:t>1</w:t>
      </w:r>
      <w:r w:rsidRPr="00874955">
        <w:rPr>
          <w:szCs w:val="18"/>
        </w:rPr>
        <w:t xml:space="preserve">Data is from the National </w:t>
      </w:r>
      <w:r w:rsidR="001A4378" w:rsidRPr="00874955">
        <w:rPr>
          <w:szCs w:val="18"/>
        </w:rPr>
        <w:t>Stormwater</w:t>
      </w:r>
      <w:r w:rsidRPr="00874955">
        <w:rPr>
          <w:szCs w:val="18"/>
        </w:rPr>
        <w:t xml:space="preserve"> Database,</w:t>
      </w:r>
    </w:p>
    <w:p w14:paraId="45ECDFC2" w14:textId="77777777" w:rsidR="00874955" w:rsidRPr="00874955" w:rsidRDefault="00874955" w:rsidP="00D3416B">
      <w:pPr>
        <w:pStyle w:val="LFTTabletext"/>
        <w:spacing w:after="0" w:line="240" w:lineRule="auto"/>
        <w:rPr>
          <w:szCs w:val="18"/>
        </w:rPr>
      </w:pPr>
      <w:r w:rsidRPr="00462F01">
        <w:rPr>
          <w:szCs w:val="18"/>
          <w:vertAlign w:val="superscript"/>
        </w:rPr>
        <w:t>2</w:t>
      </w:r>
      <w:r w:rsidRPr="00874955">
        <w:rPr>
          <w:szCs w:val="18"/>
        </w:rPr>
        <w:t>Data is for northern climates only</w:t>
      </w:r>
    </w:p>
    <w:p w14:paraId="2B50E37A" w14:textId="77777777" w:rsidR="00874955" w:rsidRPr="00874955" w:rsidRDefault="00874955" w:rsidP="00D3416B">
      <w:pPr>
        <w:pStyle w:val="LFTTabletext"/>
        <w:spacing w:after="0" w:line="240" w:lineRule="auto"/>
        <w:rPr>
          <w:szCs w:val="18"/>
        </w:rPr>
      </w:pPr>
      <w:r w:rsidRPr="00462F01">
        <w:rPr>
          <w:szCs w:val="18"/>
          <w:vertAlign w:val="superscript"/>
        </w:rPr>
        <w:t>3</w:t>
      </w:r>
      <w:r w:rsidRPr="00874955">
        <w:rPr>
          <w:szCs w:val="18"/>
        </w:rPr>
        <w:t>No value was given for the detection limit</w:t>
      </w:r>
    </w:p>
    <w:p w14:paraId="59339C88" w14:textId="77777777" w:rsidR="00874955" w:rsidRPr="00874955" w:rsidRDefault="00874955" w:rsidP="00D3416B">
      <w:pPr>
        <w:pStyle w:val="LFTTabletext"/>
        <w:spacing w:after="0" w:line="240" w:lineRule="auto"/>
        <w:rPr>
          <w:szCs w:val="18"/>
        </w:rPr>
      </w:pPr>
      <w:r w:rsidRPr="00874955">
        <w:rPr>
          <w:szCs w:val="18"/>
          <w:vertAlign w:val="superscript"/>
        </w:rPr>
        <w:t>4</w:t>
      </w:r>
      <w:r w:rsidRPr="00874955">
        <w:rPr>
          <w:szCs w:val="18"/>
        </w:rPr>
        <w:t>Data is from Pitt et al., 1995. Values are based on concentrations reported for storage areas</w:t>
      </w:r>
    </w:p>
    <w:p w14:paraId="2C08E5C0" w14:textId="77777777" w:rsidR="00874955" w:rsidRDefault="00874955" w:rsidP="00D3416B">
      <w:pPr>
        <w:pStyle w:val="LFTTabletext"/>
        <w:spacing w:after="0" w:line="240" w:lineRule="auto"/>
        <w:rPr>
          <w:szCs w:val="18"/>
        </w:rPr>
      </w:pPr>
      <w:r w:rsidRPr="00874955">
        <w:rPr>
          <w:szCs w:val="18"/>
          <w:vertAlign w:val="superscript"/>
        </w:rPr>
        <w:t>5</w:t>
      </w:r>
      <w:r w:rsidRPr="00874955">
        <w:rPr>
          <w:szCs w:val="18"/>
        </w:rPr>
        <w:t>Data is from Pitt et al., 1995. Values are based on concentrations reported for parking areas, street runoff, loading docks, and vehicle service areas</w:t>
      </w:r>
    </w:p>
    <w:p w14:paraId="06FD7780" w14:textId="77777777" w:rsidR="00FC3916" w:rsidRDefault="00FC3916" w:rsidP="00D3416B">
      <w:pPr>
        <w:pStyle w:val="LFTTabletext"/>
        <w:spacing w:after="0" w:line="240" w:lineRule="auto"/>
        <w:rPr>
          <w:szCs w:val="18"/>
        </w:rPr>
      </w:pPr>
    </w:p>
    <w:p w14:paraId="6C7C2217" w14:textId="41A37E91" w:rsidR="005944B4" w:rsidRDefault="005944B4" w:rsidP="004A7BB3">
      <w:pPr>
        <w:pStyle w:val="LFTBody"/>
      </w:pPr>
      <w:r>
        <w:t xml:space="preserve">Hotspots can be classified as Regulated, subject to state or federal permits, or Unregulated.  In Minnesota Regulated hotspots are subject to the </w:t>
      </w:r>
      <w:hyperlink r:id="rId100" w:history="1">
        <w:r w:rsidRPr="005944B4">
          <w:rPr>
            <w:rStyle w:val="Hyperlink"/>
          </w:rPr>
          <w:t>NPDES Multi-Sector General Permit for Industrial Activity</w:t>
        </w:r>
      </w:hyperlink>
      <w:r>
        <w:t xml:space="preserve">, and/or local ordinances.  </w:t>
      </w:r>
      <w:r w:rsidR="00A52D85">
        <w:t>Because Stormwater Hotspots are found in a variety of land uses, there is no common pollutant for any type of hotspot.  Instead the pollutants tend to be a unique mixture of pollutants (</w:t>
      </w:r>
      <w:r w:rsidR="00A52D85" w:rsidRPr="0013580D">
        <w:t>CWP, 2005</w:t>
      </w:r>
      <w:r w:rsidR="00A52D85">
        <w:t xml:space="preserve">).  </w:t>
      </w:r>
      <w:r w:rsidR="007D4042">
        <w:t>The potential for hotspots is related to the activities on the site more than the land use or category of operation</w:t>
      </w:r>
      <w:r w:rsidR="00A52D85">
        <w:t xml:space="preserve">.  </w:t>
      </w:r>
      <w:r w:rsidR="00CA1ED4">
        <w:t xml:space="preserve">Table 2-7 generalizes the most common pollutants generated at stormwater hotspots based on </w:t>
      </w:r>
      <w:r w:rsidR="007D4042">
        <w:t>the most common operations at a site</w:t>
      </w:r>
      <w:r w:rsidR="00CA1ED4">
        <w:t xml:space="preserve">.  </w:t>
      </w:r>
    </w:p>
    <w:p w14:paraId="23D18F80" w14:textId="17A64F16" w:rsidR="005944B4" w:rsidRDefault="005944B4" w:rsidP="004A7BB3">
      <w:pPr>
        <w:pStyle w:val="LFTTableTitle"/>
      </w:pPr>
      <w:r>
        <w:t xml:space="preserve">Table 2-7 Pollutants of Concern from </w:t>
      </w:r>
      <w:r w:rsidR="007D4042">
        <w:t>Operations</w:t>
      </w:r>
      <w:r w:rsidR="00CA1ED4">
        <w:t xml:space="preserve"> (adapted from CWP, </w:t>
      </w:r>
      <w:r w:rsidR="00CA1ED4" w:rsidRPr="0013580D">
        <w:t>2005</w:t>
      </w:r>
      <w:r w:rsidR="00CA1ED4">
        <w:t>)</w:t>
      </w:r>
    </w:p>
    <w:tbl>
      <w:tblPr>
        <w:tblStyle w:val="TableGrid"/>
        <w:tblW w:w="5000" w:type="pct"/>
        <w:tblLook w:val="04A0" w:firstRow="1" w:lastRow="0" w:firstColumn="1" w:lastColumn="0" w:noHBand="0" w:noVBand="1"/>
      </w:tblPr>
      <w:tblGrid>
        <w:gridCol w:w="1735"/>
        <w:gridCol w:w="1450"/>
        <w:gridCol w:w="1409"/>
        <w:gridCol w:w="1415"/>
        <w:gridCol w:w="1455"/>
        <w:gridCol w:w="1699"/>
      </w:tblGrid>
      <w:tr w:rsidR="007D4042" w14:paraId="1FA5EBB2" w14:textId="77777777" w:rsidTr="00B54AE3">
        <w:tc>
          <w:tcPr>
            <w:tcW w:w="947" w:type="pct"/>
            <w:tcBorders>
              <w:right w:val="single" w:sz="4" w:space="0" w:color="FFFBF0" w:themeColor="background1"/>
            </w:tcBorders>
            <w:shd w:val="clear" w:color="auto" w:fill="00539B" w:themeFill="text2"/>
            <w:vAlign w:val="bottom"/>
          </w:tcPr>
          <w:p w14:paraId="672E5253" w14:textId="7FF6DE0D" w:rsidR="005944B4" w:rsidRPr="007D4042" w:rsidRDefault="007D4042" w:rsidP="00B54AE3">
            <w:pPr>
              <w:pStyle w:val="LFTTableheader2"/>
              <w:rPr>
                <w:color w:val="FFFBF0" w:themeColor="background1"/>
              </w:rPr>
            </w:pPr>
            <w:r w:rsidRPr="007D4042">
              <w:rPr>
                <w:color w:val="FFFBF0" w:themeColor="background1"/>
              </w:rPr>
              <w:t>Pollutant of Concern</w:t>
            </w:r>
          </w:p>
        </w:tc>
        <w:tc>
          <w:tcPr>
            <w:tcW w:w="791" w:type="pct"/>
            <w:tcBorders>
              <w:left w:val="single" w:sz="4" w:space="0" w:color="FFFBF0" w:themeColor="background1"/>
              <w:right w:val="single" w:sz="4" w:space="0" w:color="FFFBF0" w:themeColor="background1"/>
            </w:tcBorders>
            <w:shd w:val="clear" w:color="auto" w:fill="00539B" w:themeFill="text2"/>
            <w:vAlign w:val="bottom"/>
          </w:tcPr>
          <w:p w14:paraId="771928E5" w14:textId="165653CB" w:rsidR="005944B4" w:rsidRPr="007D4042" w:rsidRDefault="007D4042" w:rsidP="007D4042">
            <w:pPr>
              <w:pStyle w:val="LFTTableheader2"/>
              <w:jc w:val="center"/>
              <w:rPr>
                <w:color w:val="FFFBF0" w:themeColor="background1"/>
              </w:rPr>
            </w:pPr>
            <w:r w:rsidRPr="007D4042">
              <w:rPr>
                <w:color w:val="FFFBF0" w:themeColor="background1"/>
              </w:rPr>
              <w:t>Vehicle Operations</w:t>
            </w:r>
          </w:p>
        </w:tc>
        <w:tc>
          <w:tcPr>
            <w:tcW w:w="769" w:type="pct"/>
            <w:tcBorders>
              <w:left w:val="single" w:sz="4" w:space="0" w:color="FFFBF0" w:themeColor="background1"/>
              <w:right w:val="single" w:sz="4" w:space="0" w:color="FFFBF0" w:themeColor="background1"/>
            </w:tcBorders>
            <w:shd w:val="clear" w:color="auto" w:fill="00539B" w:themeFill="text2"/>
            <w:vAlign w:val="bottom"/>
          </w:tcPr>
          <w:p w14:paraId="1B42C4DE" w14:textId="08D95E81" w:rsidR="005944B4" w:rsidRPr="007D4042" w:rsidRDefault="007D4042" w:rsidP="007D4042">
            <w:pPr>
              <w:pStyle w:val="LFTTableheader2"/>
              <w:jc w:val="center"/>
              <w:rPr>
                <w:color w:val="FFFBF0" w:themeColor="background1"/>
              </w:rPr>
            </w:pPr>
            <w:r w:rsidRPr="007D4042">
              <w:rPr>
                <w:color w:val="FFFBF0" w:themeColor="background1"/>
              </w:rPr>
              <w:t>Waste Management</w:t>
            </w:r>
          </w:p>
        </w:tc>
        <w:tc>
          <w:tcPr>
            <w:tcW w:w="772" w:type="pct"/>
            <w:tcBorders>
              <w:left w:val="single" w:sz="4" w:space="0" w:color="FFFBF0" w:themeColor="background1"/>
              <w:right w:val="single" w:sz="4" w:space="0" w:color="FFFBF0" w:themeColor="background1"/>
            </w:tcBorders>
            <w:shd w:val="clear" w:color="auto" w:fill="00539B" w:themeFill="text2"/>
            <w:vAlign w:val="bottom"/>
          </w:tcPr>
          <w:p w14:paraId="6B872CDF" w14:textId="33A1D842" w:rsidR="005944B4" w:rsidRPr="007D4042" w:rsidRDefault="007D4042" w:rsidP="007D4042">
            <w:pPr>
              <w:pStyle w:val="LFTTableheader2"/>
              <w:jc w:val="center"/>
              <w:rPr>
                <w:color w:val="FFFBF0" w:themeColor="background1"/>
              </w:rPr>
            </w:pPr>
            <w:r w:rsidRPr="007D4042">
              <w:rPr>
                <w:color w:val="FFFBF0" w:themeColor="background1"/>
              </w:rPr>
              <w:t>Site Maintenance Practices</w:t>
            </w:r>
          </w:p>
        </w:tc>
        <w:tc>
          <w:tcPr>
            <w:tcW w:w="794" w:type="pct"/>
            <w:tcBorders>
              <w:left w:val="single" w:sz="4" w:space="0" w:color="FFFBF0" w:themeColor="background1"/>
              <w:right w:val="single" w:sz="4" w:space="0" w:color="FFFBF0" w:themeColor="background1"/>
            </w:tcBorders>
            <w:shd w:val="clear" w:color="auto" w:fill="00539B" w:themeFill="text2"/>
            <w:vAlign w:val="bottom"/>
          </w:tcPr>
          <w:p w14:paraId="3BD15801" w14:textId="43E9C934" w:rsidR="005944B4" w:rsidRPr="007D4042" w:rsidRDefault="007D4042" w:rsidP="007D4042">
            <w:pPr>
              <w:pStyle w:val="LFTTableheader2"/>
              <w:jc w:val="center"/>
              <w:rPr>
                <w:color w:val="FFFBF0" w:themeColor="background1"/>
              </w:rPr>
            </w:pPr>
            <w:r w:rsidRPr="007D4042">
              <w:rPr>
                <w:color w:val="FFFBF0" w:themeColor="background1"/>
              </w:rPr>
              <w:t>Outdoor Materials</w:t>
            </w:r>
          </w:p>
        </w:tc>
        <w:tc>
          <w:tcPr>
            <w:tcW w:w="927" w:type="pct"/>
            <w:tcBorders>
              <w:left w:val="single" w:sz="4" w:space="0" w:color="FFFBF0" w:themeColor="background1"/>
            </w:tcBorders>
            <w:shd w:val="clear" w:color="auto" w:fill="00539B" w:themeFill="text2"/>
            <w:vAlign w:val="bottom"/>
          </w:tcPr>
          <w:p w14:paraId="6929F4E7" w14:textId="7AD8A468" w:rsidR="005944B4" w:rsidRPr="007D4042" w:rsidRDefault="007D4042" w:rsidP="007D4042">
            <w:pPr>
              <w:pStyle w:val="LFTTableheader2"/>
              <w:jc w:val="center"/>
              <w:rPr>
                <w:color w:val="FFFBF0" w:themeColor="background1"/>
              </w:rPr>
            </w:pPr>
            <w:r w:rsidRPr="007D4042">
              <w:rPr>
                <w:color w:val="FFFBF0" w:themeColor="background1"/>
              </w:rPr>
              <w:t>Landscaping</w:t>
            </w:r>
          </w:p>
        </w:tc>
      </w:tr>
      <w:tr w:rsidR="007D4042" w14:paraId="06F1DBFA" w14:textId="77777777" w:rsidTr="00CA1ED4">
        <w:tc>
          <w:tcPr>
            <w:tcW w:w="947" w:type="pct"/>
          </w:tcPr>
          <w:p w14:paraId="3B4FD8EA" w14:textId="3DC827C7" w:rsidR="005944B4" w:rsidRDefault="005944B4" w:rsidP="00D3416B">
            <w:pPr>
              <w:pStyle w:val="LFTTabletext"/>
              <w:spacing w:after="0" w:line="240" w:lineRule="auto"/>
              <w:rPr>
                <w:szCs w:val="18"/>
              </w:rPr>
            </w:pPr>
            <w:r>
              <w:rPr>
                <w:szCs w:val="18"/>
              </w:rPr>
              <w:t>Nutrients</w:t>
            </w:r>
          </w:p>
        </w:tc>
        <w:tc>
          <w:tcPr>
            <w:tcW w:w="791" w:type="pct"/>
            <w:vAlign w:val="center"/>
          </w:tcPr>
          <w:p w14:paraId="01416D44" w14:textId="3FFC45BA" w:rsidR="005944B4" w:rsidRDefault="005944B4" w:rsidP="00CA1ED4">
            <w:pPr>
              <w:pStyle w:val="LFTTabletext"/>
              <w:spacing w:after="0" w:line="240" w:lineRule="auto"/>
              <w:jc w:val="center"/>
              <w:rPr>
                <w:szCs w:val="18"/>
              </w:rPr>
            </w:pPr>
          </w:p>
        </w:tc>
        <w:tc>
          <w:tcPr>
            <w:tcW w:w="769" w:type="pct"/>
            <w:vAlign w:val="center"/>
          </w:tcPr>
          <w:p w14:paraId="46097E87" w14:textId="72D4780C" w:rsidR="005944B4" w:rsidRDefault="005944B4" w:rsidP="00CA1ED4">
            <w:pPr>
              <w:pStyle w:val="LFTTabletext"/>
              <w:spacing w:after="0" w:line="240" w:lineRule="auto"/>
              <w:jc w:val="center"/>
              <w:rPr>
                <w:szCs w:val="18"/>
              </w:rPr>
            </w:pPr>
          </w:p>
        </w:tc>
        <w:tc>
          <w:tcPr>
            <w:tcW w:w="772" w:type="pct"/>
            <w:vAlign w:val="center"/>
          </w:tcPr>
          <w:p w14:paraId="7547DD0E" w14:textId="051F1CDF" w:rsidR="005944B4" w:rsidRDefault="007D4042" w:rsidP="00CA1ED4">
            <w:pPr>
              <w:pStyle w:val="LFTTabletext"/>
              <w:spacing w:after="0" w:line="240" w:lineRule="auto"/>
              <w:jc w:val="center"/>
              <w:rPr>
                <w:szCs w:val="18"/>
              </w:rPr>
            </w:pPr>
            <w:r>
              <w:rPr>
                <w:szCs w:val="18"/>
              </w:rPr>
              <w:sym w:font="Wingdings" w:char="F0FC"/>
            </w:r>
          </w:p>
        </w:tc>
        <w:tc>
          <w:tcPr>
            <w:tcW w:w="794" w:type="pct"/>
            <w:vAlign w:val="center"/>
          </w:tcPr>
          <w:p w14:paraId="60F8497C" w14:textId="736FC0C3" w:rsidR="005944B4" w:rsidRDefault="007D4042" w:rsidP="00CA1ED4">
            <w:pPr>
              <w:pStyle w:val="LFTTabletext"/>
              <w:spacing w:after="0" w:line="240" w:lineRule="auto"/>
              <w:jc w:val="center"/>
              <w:rPr>
                <w:szCs w:val="18"/>
              </w:rPr>
            </w:pPr>
            <w:r>
              <w:rPr>
                <w:szCs w:val="18"/>
              </w:rPr>
              <w:sym w:font="Wingdings" w:char="F0FC"/>
            </w:r>
          </w:p>
        </w:tc>
        <w:tc>
          <w:tcPr>
            <w:tcW w:w="927" w:type="pct"/>
            <w:vAlign w:val="center"/>
          </w:tcPr>
          <w:p w14:paraId="30280D5D" w14:textId="275D777A" w:rsidR="005944B4" w:rsidRDefault="007D4042" w:rsidP="00CA1ED4">
            <w:pPr>
              <w:pStyle w:val="LFTTabletext"/>
              <w:spacing w:after="0" w:line="240" w:lineRule="auto"/>
              <w:jc w:val="center"/>
              <w:rPr>
                <w:szCs w:val="18"/>
              </w:rPr>
            </w:pPr>
            <w:r>
              <w:rPr>
                <w:szCs w:val="18"/>
              </w:rPr>
              <w:sym w:font="Wingdings" w:char="F0FC"/>
            </w:r>
          </w:p>
        </w:tc>
      </w:tr>
      <w:tr w:rsidR="007D4042" w14:paraId="7A38316B" w14:textId="77777777" w:rsidTr="00CA1ED4">
        <w:tc>
          <w:tcPr>
            <w:tcW w:w="947" w:type="pct"/>
          </w:tcPr>
          <w:p w14:paraId="0790C97C" w14:textId="42AAD52F" w:rsidR="005944B4" w:rsidRDefault="005944B4" w:rsidP="00D3416B">
            <w:pPr>
              <w:pStyle w:val="LFTTabletext"/>
              <w:spacing w:after="0" w:line="240" w:lineRule="auto"/>
              <w:rPr>
                <w:szCs w:val="18"/>
              </w:rPr>
            </w:pPr>
            <w:r>
              <w:rPr>
                <w:szCs w:val="18"/>
              </w:rPr>
              <w:t>Pesticides</w:t>
            </w:r>
          </w:p>
        </w:tc>
        <w:tc>
          <w:tcPr>
            <w:tcW w:w="791" w:type="pct"/>
            <w:vAlign w:val="center"/>
          </w:tcPr>
          <w:p w14:paraId="588E4E58" w14:textId="2776EBB1" w:rsidR="005944B4" w:rsidRDefault="005944B4" w:rsidP="00CA1ED4">
            <w:pPr>
              <w:pStyle w:val="LFTTabletext"/>
              <w:spacing w:after="0" w:line="240" w:lineRule="auto"/>
              <w:jc w:val="center"/>
              <w:rPr>
                <w:szCs w:val="18"/>
              </w:rPr>
            </w:pPr>
          </w:p>
        </w:tc>
        <w:tc>
          <w:tcPr>
            <w:tcW w:w="769" w:type="pct"/>
            <w:vAlign w:val="center"/>
          </w:tcPr>
          <w:p w14:paraId="66607DED" w14:textId="77777777" w:rsidR="005944B4" w:rsidRDefault="005944B4" w:rsidP="00CA1ED4">
            <w:pPr>
              <w:pStyle w:val="LFTTabletext"/>
              <w:spacing w:after="0" w:line="240" w:lineRule="auto"/>
              <w:jc w:val="center"/>
              <w:rPr>
                <w:szCs w:val="18"/>
              </w:rPr>
            </w:pPr>
          </w:p>
        </w:tc>
        <w:tc>
          <w:tcPr>
            <w:tcW w:w="772" w:type="pct"/>
            <w:vAlign w:val="center"/>
          </w:tcPr>
          <w:p w14:paraId="1ECBE5E2" w14:textId="7BA5ECB6" w:rsidR="005944B4" w:rsidRDefault="005944B4" w:rsidP="00CA1ED4">
            <w:pPr>
              <w:pStyle w:val="LFTTabletext"/>
              <w:spacing w:after="0" w:line="240" w:lineRule="auto"/>
              <w:jc w:val="center"/>
              <w:rPr>
                <w:szCs w:val="18"/>
              </w:rPr>
            </w:pPr>
          </w:p>
        </w:tc>
        <w:tc>
          <w:tcPr>
            <w:tcW w:w="794" w:type="pct"/>
            <w:vAlign w:val="center"/>
          </w:tcPr>
          <w:p w14:paraId="0F3EE173" w14:textId="2142F7D8" w:rsidR="005944B4" w:rsidRDefault="007D4042" w:rsidP="00CA1ED4">
            <w:pPr>
              <w:pStyle w:val="LFTTabletext"/>
              <w:spacing w:after="0" w:line="240" w:lineRule="auto"/>
              <w:jc w:val="center"/>
              <w:rPr>
                <w:szCs w:val="18"/>
              </w:rPr>
            </w:pPr>
            <w:r>
              <w:rPr>
                <w:szCs w:val="18"/>
              </w:rPr>
              <w:sym w:font="Wingdings" w:char="F0FC"/>
            </w:r>
          </w:p>
        </w:tc>
        <w:tc>
          <w:tcPr>
            <w:tcW w:w="927" w:type="pct"/>
            <w:vAlign w:val="center"/>
          </w:tcPr>
          <w:p w14:paraId="7A5BC427" w14:textId="47BD4A47" w:rsidR="005944B4" w:rsidRDefault="007D4042" w:rsidP="00CA1ED4">
            <w:pPr>
              <w:pStyle w:val="LFTTabletext"/>
              <w:spacing w:after="0" w:line="240" w:lineRule="auto"/>
              <w:jc w:val="center"/>
              <w:rPr>
                <w:szCs w:val="18"/>
              </w:rPr>
            </w:pPr>
            <w:r>
              <w:rPr>
                <w:szCs w:val="18"/>
              </w:rPr>
              <w:sym w:font="Wingdings" w:char="F0FC"/>
            </w:r>
          </w:p>
        </w:tc>
      </w:tr>
      <w:tr w:rsidR="007D4042" w14:paraId="6D2D29F7" w14:textId="77777777" w:rsidTr="00CA1ED4">
        <w:tc>
          <w:tcPr>
            <w:tcW w:w="947" w:type="pct"/>
          </w:tcPr>
          <w:p w14:paraId="58CCDF5D" w14:textId="2EC14863" w:rsidR="005944B4" w:rsidRDefault="005944B4" w:rsidP="00D3416B">
            <w:pPr>
              <w:pStyle w:val="LFTTabletext"/>
              <w:spacing w:after="0" w:line="240" w:lineRule="auto"/>
              <w:rPr>
                <w:szCs w:val="18"/>
              </w:rPr>
            </w:pPr>
            <w:r>
              <w:rPr>
                <w:szCs w:val="18"/>
              </w:rPr>
              <w:t>Solvents</w:t>
            </w:r>
          </w:p>
        </w:tc>
        <w:tc>
          <w:tcPr>
            <w:tcW w:w="791" w:type="pct"/>
            <w:vAlign w:val="center"/>
          </w:tcPr>
          <w:p w14:paraId="46A1D89D" w14:textId="0F3A707D" w:rsidR="005944B4" w:rsidRDefault="005944B4" w:rsidP="00CA1ED4">
            <w:pPr>
              <w:pStyle w:val="LFTTabletext"/>
              <w:spacing w:after="0" w:line="240" w:lineRule="auto"/>
              <w:jc w:val="center"/>
              <w:rPr>
                <w:szCs w:val="18"/>
              </w:rPr>
            </w:pPr>
          </w:p>
        </w:tc>
        <w:tc>
          <w:tcPr>
            <w:tcW w:w="769" w:type="pct"/>
            <w:vAlign w:val="center"/>
          </w:tcPr>
          <w:p w14:paraId="49FFD31B" w14:textId="612623DB" w:rsidR="005944B4" w:rsidRDefault="005944B4" w:rsidP="00CA1ED4">
            <w:pPr>
              <w:pStyle w:val="LFTTabletext"/>
              <w:spacing w:after="0" w:line="240" w:lineRule="auto"/>
              <w:jc w:val="center"/>
              <w:rPr>
                <w:szCs w:val="18"/>
              </w:rPr>
            </w:pPr>
          </w:p>
        </w:tc>
        <w:tc>
          <w:tcPr>
            <w:tcW w:w="772" w:type="pct"/>
            <w:vAlign w:val="center"/>
          </w:tcPr>
          <w:p w14:paraId="76528500" w14:textId="15A356A1" w:rsidR="005944B4" w:rsidRDefault="007D4042" w:rsidP="00CA1ED4">
            <w:pPr>
              <w:pStyle w:val="LFTTabletext"/>
              <w:spacing w:after="0" w:line="240" w:lineRule="auto"/>
              <w:jc w:val="center"/>
              <w:rPr>
                <w:szCs w:val="18"/>
              </w:rPr>
            </w:pPr>
            <w:r>
              <w:rPr>
                <w:szCs w:val="18"/>
              </w:rPr>
              <w:sym w:font="Wingdings" w:char="F0FC"/>
            </w:r>
          </w:p>
        </w:tc>
        <w:tc>
          <w:tcPr>
            <w:tcW w:w="794" w:type="pct"/>
            <w:vAlign w:val="center"/>
          </w:tcPr>
          <w:p w14:paraId="56C55B2B" w14:textId="212AEED0" w:rsidR="005944B4" w:rsidRDefault="007D4042" w:rsidP="00CA1ED4">
            <w:pPr>
              <w:pStyle w:val="LFTTabletext"/>
              <w:spacing w:after="0" w:line="240" w:lineRule="auto"/>
              <w:jc w:val="center"/>
              <w:rPr>
                <w:szCs w:val="18"/>
              </w:rPr>
            </w:pPr>
            <w:r>
              <w:rPr>
                <w:szCs w:val="18"/>
              </w:rPr>
              <w:sym w:font="Wingdings" w:char="F0FC"/>
            </w:r>
          </w:p>
        </w:tc>
        <w:tc>
          <w:tcPr>
            <w:tcW w:w="927" w:type="pct"/>
            <w:vAlign w:val="center"/>
          </w:tcPr>
          <w:p w14:paraId="6C47585C" w14:textId="58C22385" w:rsidR="005944B4" w:rsidRDefault="005944B4" w:rsidP="00CA1ED4">
            <w:pPr>
              <w:pStyle w:val="LFTTabletext"/>
              <w:spacing w:after="0" w:line="240" w:lineRule="auto"/>
              <w:jc w:val="center"/>
              <w:rPr>
                <w:szCs w:val="18"/>
              </w:rPr>
            </w:pPr>
          </w:p>
        </w:tc>
      </w:tr>
      <w:tr w:rsidR="007D4042" w14:paraId="6143F506" w14:textId="77777777" w:rsidTr="00CA1ED4">
        <w:tc>
          <w:tcPr>
            <w:tcW w:w="947" w:type="pct"/>
          </w:tcPr>
          <w:p w14:paraId="78AFE87B" w14:textId="4802CF69" w:rsidR="005944B4" w:rsidRDefault="005944B4" w:rsidP="00D3416B">
            <w:pPr>
              <w:pStyle w:val="LFTTabletext"/>
              <w:spacing w:after="0" w:line="240" w:lineRule="auto"/>
              <w:rPr>
                <w:szCs w:val="18"/>
              </w:rPr>
            </w:pPr>
            <w:r>
              <w:rPr>
                <w:szCs w:val="18"/>
              </w:rPr>
              <w:t>Fuels</w:t>
            </w:r>
          </w:p>
        </w:tc>
        <w:tc>
          <w:tcPr>
            <w:tcW w:w="791" w:type="pct"/>
            <w:vAlign w:val="center"/>
          </w:tcPr>
          <w:p w14:paraId="0F76AB5A" w14:textId="0D4DBDB7" w:rsidR="005944B4" w:rsidRDefault="005944B4" w:rsidP="00CA1ED4">
            <w:pPr>
              <w:pStyle w:val="LFTTabletext"/>
              <w:spacing w:after="0" w:line="240" w:lineRule="auto"/>
              <w:jc w:val="center"/>
              <w:rPr>
                <w:szCs w:val="18"/>
              </w:rPr>
            </w:pPr>
          </w:p>
        </w:tc>
        <w:tc>
          <w:tcPr>
            <w:tcW w:w="769" w:type="pct"/>
            <w:vAlign w:val="center"/>
          </w:tcPr>
          <w:p w14:paraId="56984820" w14:textId="4920E067" w:rsidR="005944B4" w:rsidRDefault="005944B4" w:rsidP="00CA1ED4">
            <w:pPr>
              <w:pStyle w:val="LFTTabletext"/>
              <w:spacing w:after="0" w:line="240" w:lineRule="auto"/>
              <w:jc w:val="center"/>
              <w:rPr>
                <w:szCs w:val="18"/>
              </w:rPr>
            </w:pPr>
          </w:p>
        </w:tc>
        <w:tc>
          <w:tcPr>
            <w:tcW w:w="772" w:type="pct"/>
            <w:vAlign w:val="center"/>
          </w:tcPr>
          <w:p w14:paraId="2B13E8D0" w14:textId="3FE16333" w:rsidR="005944B4" w:rsidRDefault="005944B4" w:rsidP="00CA1ED4">
            <w:pPr>
              <w:pStyle w:val="LFTTabletext"/>
              <w:spacing w:after="0" w:line="240" w:lineRule="auto"/>
              <w:jc w:val="center"/>
              <w:rPr>
                <w:szCs w:val="18"/>
              </w:rPr>
            </w:pPr>
          </w:p>
        </w:tc>
        <w:tc>
          <w:tcPr>
            <w:tcW w:w="794" w:type="pct"/>
            <w:vAlign w:val="center"/>
          </w:tcPr>
          <w:p w14:paraId="35D750B3" w14:textId="2AD97857" w:rsidR="005944B4" w:rsidRDefault="007D4042" w:rsidP="00CA1ED4">
            <w:pPr>
              <w:pStyle w:val="LFTTabletext"/>
              <w:spacing w:after="0" w:line="240" w:lineRule="auto"/>
              <w:jc w:val="center"/>
              <w:rPr>
                <w:szCs w:val="18"/>
              </w:rPr>
            </w:pPr>
            <w:r>
              <w:rPr>
                <w:szCs w:val="18"/>
              </w:rPr>
              <w:sym w:font="Wingdings" w:char="F0FC"/>
            </w:r>
          </w:p>
        </w:tc>
        <w:tc>
          <w:tcPr>
            <w:tcW w:w="927" w:type="pct"/>
            <w:vAlign w:val="center"/>
          </w:tcPr>
          <w:p w14:paraId="203FB467" w14:textId="4FFA1C6A" w:rsidR="005944B4" w:rsidRDefault="005944B4" w:rsidP="00CA1ED4">
            <w:pPr>
              <w:pStyle w:val="LFTTabletext"/>
              <w:spacing w:after="0" w:line="240" w:lineRule="auto"/>
              <w:jc w:val="center"/>
              <w:rPr>
                <w:szCs w:val="18"/>
              </w:rPr>
            </w:pPr>
          </w:p>
        </w:tc>
      </w:tr>
      <w:tr w:rsidR="007D4042" w14:paraId="502F11F6" w14:textId="77777777" w:rsidTr="00CA1ED4">
        <w:tc>
          <w:tcPr>
            <w:tcW w:w="947" w:type="pct"/>
          </w:tcPr>
          <w:p w14:paraId="071BC13F" w14:textId="2EDBD9FE" w:rsidR="005944B4" w:rsidRDefault="005944B4" w:rsidP="00D3416B">
            <w:pPr>
              <w:pStyle w:val="LFTTabletext"/>
              <w:spacing w:after="0" w:line="240" w:lineRule="auto"/>
              <w:rPr>
                <w:szCs w:val="18"/>
              </w:rPr>
            </w:pPr>
            <w:r>
              <w:rPr>
                <w:szCs w:val="18"/>
              </w:rPr>
              <w:t>Oil and grease</w:t>
            </w:r>
          </w:p>
        </w:tc>
        <w:tc>
          <w:tcPr>
            <w:tcW w:w="791" w:type="pct"/>
            <w:vAlign w:val="center"/>
          </w:tcPr>
          <w:p w14:paraId="4ED14E1A" w14:textId="383B4FBA" w:rsidR="005944B4" w:rsidRDefault="007D4042" w:rsidP="00CA1ED4">
            <w:pPr>
              <w:pStyle w:val="LFTTabletext"/>
              <w:spacing w:after="0" w:line="240" w:lineRule="auto"/>
              <w:jc w:val="center"/>
              <w:rPr>
                <w:szCs w:val="18"/>
              </w:rPr>
            </w:pPr>
            <w:r>
              <w:rPr>
                <w:szCs w:val="18"/>
              </w:rPr>
              <w:sym w:font="Wingdings" w:char="F0FC"/>
            </w:r>
          </w:p>
        </w:tc>
        <w:tc>
          <w:tcPr>
            <w:tcW w:w="769" w:type="pct"/>
            <w:vAlign w:val="center"/>
          </w:tcPr>
          <w:p w14:paraId="4EAE0879" w14:textId="491917D8" w:rsidR="005944B4" w:rsidRDefault="005944B4" w:rsidP="00CA1ED4">
            <w:pPr>
              <w:pStyle w:val="LFTTabletext"/>
              <w:spacing w:after="0" w:line="240" w:lineRule="auto"/>
              <w:jc w:val="center"/>
              <w:rPr>
                <w:szCs w:val="18"/>
              </w:rPr>
            </w:pPr>
          </w:p>
        </w:tc>
        <w:tc>
          <w:tcPr>
            <w:tcW w:w="772" w:type="pct"/>
            <w:vAlign w:val="center"/>
          </w:tcPr>
          <w:p w14:paraId="0587D94F" w14:textId="44A76F86" w:rsidR="005944B4" w:rsidRDefault="005944B4" w:rsidP="00CA1ED4">
            <w:pPr>
              <w:pStyle w:val="LFTTabletext"/>
              <w:spacing w:after="0" w:line="240" w:lineRule="auto"/>
              <w:jc w:val="center"/>
              <w:rPr>
                <w:szCs w:val="18"/>
              </w:rPr>
            </w:pPr>
          </w:p>
        </w:tc>
        <w:tc>
          <w:tcPr>
            <w:tcW w:w="794" w:type="pct"/>
            <w:vAlign w:val="center"/>
          </w:tcPr>
          <w:p w14:paraId="47A86CE3" w14:textId="73EA5EF8" w:rsidR="005944B4" w:rsidRDefault="007D4042" w:rsidP="00CA1ED4">
            <w:pPr>
              <w:pStyle w:val="LFTTabletext"/>
              <w:spacing w:after="0" w:line="240" w:lineRule="auto"/>
              <w:jc w:val="center"/>
              <w:rPr>
                <w:szCs w:val="18"/>
              </w:rPr>
            </w:pPr>
            <w:r>
              <w:rPr>
                <w:szCs w:val="18"/>
              </w:rPr>
              <w:sym w:font="Wingdings" w:char="F0FC"/>
            </w:r>
          </w:p>
        </w:tc>
        <w:tc>
          <w:tcPr>
            <w:tcW w:w="927" w:type="pct"/>
            <w:vAlign w:val="center"/>
          </w:tcPr>
          <w:p w14:paraId="23661B5B" w14:textId="7A73D757" w:rsidR="005944B4" w:rsidRDefault="005944B4" w:rsidP="00CA1ED4">
            <w:pPr>
              <w:pStyle w:val="LFTTabletext"/>
              <w:spacing w:after="0" w:line="240" w:lineRule="auto"/>
              <w:jc w:val="center"/>
              <w:rPr>
                <w:szCs w:val="18"/>
              </w:rPr>
            </w:pPr>
          </w:p>
        </w:tc>
      </w:tr>
      <w:tr w:rsidR="007D4042" w14:paraId="5A6CC634" w14:textId="77777777" w:rsidTr="00CA1ED4">
        <w:tc>
          <w:tcPr>
            <w:tcW w:w="947" w:type="pct"/>
          </w:tcPr>
          <w:p w14:paraId="38D0F18B" w14:textId="4346BFDD" w:rsidR="005944B4" w:rsidRDefault="005944B4" w:rsidP="00D3416B">
            <w:pPr>
              <w:pStyle w:val="LFTTabletext"/>
              <w:spacing w:after="0" w:line="240" w:lineRule="auto"/>
              <w:rPr>
                <w:szCs w:val="18"/>
              </w:rPr>
            </w:pPr>
            <w:r>
              <w:rPr>
                <w:szCs w:val="18"/>
              </w:rPr>
              <w:t>Toxic chemicals</w:t>
            </w:r>
          </w:p>
        </w:tc>
        <w:tc>
          <w:tcPr>
            <w:tcW w:w="791" w:type="pct"/>
            <w:vAlign w:val="center"/>
          </w:tcPr>
          <w:p w14:paraId="42CF3FE8" w14:textId="77777777" w:rsidR="005944B4" w:rsidRDefault="005944B4" w:rsidP="00CA1ED4">
            <w:pPr>
              <w:pStyle w:val="LFTTabletext"/>
              <w:spacing w:after="0" w:line="240" w:lineRule="auto"/>
              <w:jc w:val="center"/>
              <w:rPr>
                <w:szCs w:val="18"/>
              </w:rPr>
            </w:pPr>
          </w:p>
        </w:tc>
        <w:tc>
          <w:tcPr>
            <w:tcW w:w="769" w:type="pct"/>
            <w:vAlign w:val="center"/>
          </w:tcPr>
          <w:p w14:paraId="23D37C07" w14:textId="5C0E6276" w:rsidR="005944B4" w:rsidRDefault="007D4042" w:rsidP="00CA1ED4">
            <w:pPr>
              <w:pStyle w:val="LFTTabletext"/>
              <w:spacing w:after="0" w:line="240" w:lineRule="auto"/>
              <w:jc w:val="center"/>
              <w:rPr>
                <w:szCs w:val="18"/>
              </w:rPr>
            </w:pPr>
            <w:r>
              <w:rPr>
                <w:szCs w:val="18"/>
              </w:rPr>
              <w:sym w:font="Wingdings" w:char="F0FC"/>
            </w:r>
          </w:p>
        </w:tc>
        <w:tc>
          <w:tcPr>
            <w:tcW w:w="772" w:type="pct"/>
            <w:vAlign w:val="center"/>
          </w:tcPr>
          <w:p w14:paraId="0349DCBB" w14:textId="7EE80D91" w:rsidR="005944B4" w:rsidRDefault="005944B4" w:rsidP="00CA1ED4">
            <w:pPr>
              <w:pStyle w:val="LFTTabletext"/>
              <w:spacing w:after="0" w:line="240" w:lineRule="auto"/>
              <w:jc w:val="center"/>
              <w:rPr>
                <w:szCs w:val="18"/>
              </w:rPr>
            </w:pPr>
          </w:p>
        </w:tc>
        <w:tc>
          <w:tcPr>
            <w:tcW w:w="794" w:type="pct"/>
            <w:vAlign w:val="center"/>
          </w:tcPr>
          <w:p w14:paraId="43A5B0A6" w14:textId="014A473C" w:rsidR="005944B4" w:rsidRDefault="007D4042" w:rsidP="00CA1ED4">
            <w:pPr>
              <w:pStyle w:val="LFTTabletext"/>
              <w:spacing w:after="0" w:line="240" w:lineRule="auto"/>
              <w:jc w:val="center"/>
              <w:rPr>
                <w:szCs w:val="18"/>
              </w:rPr>
            </w:pPr>
            <w:r>
              <w:rPr>
                <w:szCs w:val="18"/>
              </w:rPr>
              <w:sym w:font="Wingdings" w:char="F0FC"/>
            </w:r>
          </w:p>
        </w:tc>
        <w:tc>
          <w:tcPr>
            <w:tcW w:w="927" w:type="pct"/>
            <w:vAlign w:val="center"/>
          </w:tcPr>
          <w:p w14:paraId="4676AB6B" w14:textId="77777777" w:rsidR="005944B4" w:rsidRDefault="005944B4" w:rsidP="00CA1ED4">
            <w:pPr>
              <w:pStyle w:val="LFTTabletext"/>
              <w:spacing w:after="0" w:line="240" w:lineRule="auto"/>
              <w:jc w:val="center"/>
              <w:rPr>
                <w:szCs w:val="18"/>
              </w:rPr>
            </w:pPr>
          </w:p>
        </w:tc>
      </w:tr>
      <w:tr w:rsidR="007D4042" w14:paraId="76C424C0" w14:textId="77777777" w:rsidTr="00CA1ED4">
        <w:tc>
          <w:tcPr>
            <w:tcW w:w="947" w:type="pct"/>
          </w:tcPr>
          <w:p w14:paraId="19FC956E" w14:textId="420EA5EE" w:rsidR="005944B4" w:rsidRDefault="005944B4" w:rsidP="00D3416B">
            <w:pPr>
              <w:pStyle w:val="LFTTabletext"/>
              <w:spacing w:after="0" w:line="240" w:lineRule="auto"/>
              <w:rPr>
                <w:szCs w:val="18"/>
              </w:rPr>
            </w:pPr>
            <w:r>
              <w:rPr>
                <w:szCs w:val="18"/>
              </w:rPr>
              <w:t>Sediment</w:t>
            </w:r>
          </w:p>
        </w:tc>
        <w:tc>
          <w:tcPr>
            <w:tcW w:w="791" w:type="pct"/>
            <w:vAlign w:val="center"/>
          </w:tcPr>
          <w:p w14:paraId="09FD5CF4" w14:textId="666DB7FF" w:rsidR="005944B4" w:rsidRDefault="005944B4" w:rsidP="00CA1ED4">
            <w:pPr>
              <w:pStyle w:val="LFTTabletext"/>
              <w:spacing w:after="0" w:line="240" w:lineRule="auto"/>
              <w:jc w:val="center"/>
              <w:rPr>
                <w:szCs w:val="18"/>
              </w:rPr>
            </w:pPr>
          </w:p>
        </w:tc>
        <w:tc>
          <w:tcPr>
            <w:tcW w:w="769" w:type="pct"/>
            <w:vAlign w:val="center"/>
          </w:tcPr>
          <w:p w14:paraId="57E3B4C3" w14:textId="5E3B0196" w:rsidR="005944B4" w:rsidRDefault="007D4042" w:rsidP="00CA1ED4">
            <w:pPr>
              <w:pStyle w:val="LFTTabletext"/>
              <w:spacing w:after="0" w:line="240" w:lineRule="auto"/>
              <w:jc w:val="center"/>
              <w:rPr>
                <w:szCs w:val="18"/>
              </w:rPr>
            </w:pPr>
            <w:r>
              <w:rPr>
                <w:szCs w:val="18"/>
              </w:rPr>
              <w:sym w:font="Wingdings" w:char="F0FC"/>
            </w:r>
          </w:p>
        </w:tc>
        <w:tc>
          <w:tcPr>
            <w:tcW w:w="772" w:type="pct"/>
            <w:vAlign w:val="center"/>
          </w:tcPr>
          <w:p w14:paraId="559A788D" w14:textId="2EE43DAF" w:rsidR="005944B4" w:rsidRDefault="007D4042" w:rsidP="00CA1ED4">
            <w:pPr>
              <w:pStyle w:val="LFTTabletext"/>
              <w:spacing w:after="0" w:line="240" w:lineRule="auto"/>
              <w:jc w:val="center"/>
              <w:rPr>
                <w:szCs w:val="18"/>
              </w:rPr>
            </w:pPr>
            <w:r>
              <w:rPr>
                <w:szCs w:val="18"/>
              </w:rPr>
              <w:sym w:font="Wingdings" w:char="F0FC"/>
            </w:r>
          </w:p>
        </w:tc>
        <w:tc>
          <w:tcPr>
            <w:tcW w:w="794" w:type="pct"/>
            <w:vAlign w:val="center"/>
          </w:tcPr>
          <w:p w14:paraId="220F9FA7" w14:textId="199B7515" w:rsidR="005944B4" w:rsidRDefault="007D4042" w:rsidP="00CA1ED4">
            <w:pPr>
              <w:pStyle w:val="LFTTabletext"/>
              <w:spacing w:after="0" w:line="240" w:lineRule="auto"/>
              <w:jc w:val="center"/>
              <w:rPr>
                <w:szCs w:val="18"/>
              </w:rPr>
            </w:pPr>
            <w:r>
              <w:rPr>
                <w:szCs w:val="18"/>
              </w:rPr>
              <w:sym w:font="Wingdings" w:char="F0FC"/>
            </w:r>
          </w:p>
        </w:tc>
        <w:tc>
          <w:tcPr>
            <w:tcW w:w="927" w:type="pct"/>
            <w:vAlign w:val="center"/>
          </w:tcPr>
          <w:p w14:paraId="4C6C88C2" w14:textId="43D76028" w:rsidR="005944B4" w:rsidRDefault="007D4042" w:rsidP="00CA1ED4">
            <w:pPr>
              <w:pStyle w:val="LFTTabletext"/>
              <w:spacing w:after="0" w:line="240" w:lineRule="auto"/>
              <w:jc w:val="center"/>
              <w:rPr>
                <w:szCs w:val="18"/>
              </w:rPr>
            </w:pPr>
            <w:r>
              <w:rPr>
                <w:szCs w:val="18"/>
              </w:rPr>
              <w:sym w:font="Wingdings" w:char="F0FC"/>
            </w:r>
          </w:p>
        </w:tc>
      </w:tr>
      <w:tr w:rsidR="007D4042" w14:paraId="55DAB2EA" w14:textId="77777777" w:rsidTr="00CA1ED4">
        <w:tc>
          <w:tcPr>
            <w:tcW w:w="947" w:type="pct"/>
          </w:tcPr>
          <w:p w14:paraId="53E447F9" w14:textId="47007D04" w:rsidR="005944B4" w:rsidRDefault="005944B4" w:rsidP="00D3416B">
            <w:pPr>
              <w:pStyle w:val="LFTTabletext"/>
              <w:spacing w:after="0" w:line="240" w:lineRule="auto"/>
              <w:rPr>
                <w:szCs w:val="18"/>
              </w:rPr>
            </w:pPr>
            <w:r>
              <w:rPr>
                <w:szCs w:val="18"/>
              </w:rPr>
              <w:t>Road salt</w:t>
            </w:r>
          </w:p>
        </w:tc>
        <w:tc>
          <w:tcPr>
            <w:tcW w:w="791" w:type="pct"/>
            <w:vAlign w:val="center"/>
          </w:tcPr>
          <w:p w14:paraId="77AA0C5F" w14:textId="0995D31A" w:rsidR="005944B4" w:rsidRDefault="005944B4" w:rsidP="00CA1ED4">
            <w:pPr>
              <w:pStyle w:val="LFTTabletext"/>
              <w:spacing w:after="0" w:line="240" w:lineRule="auto"/>
              <w:jc w:val="center"/>
              <w:rPr>
                <w:szCs w:val="18"/>
              </w:rPr>
            </w:pPr>
          </w:p>
        </w:tc>
        <w:tc>
          <w:tcPr>
            <w:tcW w:w="769" w:type="pct"/>
            <w:vAlign w:val="center"/>
          </w:tcPr>
          <w:p w14:paraId="51A98E73" w14:textId="77777777" w:rsidR="005944B4" w:rsidRDefault="005944B4" w:rsidP="00CA1ED4">
            <w:pPr>
              <w:pStyle w:val="LFTTabletext"/>
              <w:spacing w:after="0" w:line="240" w:lineRule="auto"/>
              <w:jc w:val="center"/>
              <w:rPr>
                <w:szCs w:val="18"/>
              </w:rPr>
            </w:pPr>
          </w:p>
        </w:tc>
        <w:tc>
          <w:tcPr>
            <w:tcW w:w="772" w:type="pct"/>
            <w:vAlign w:val="center"/>
          </w:tcPr>
          <w:p w14:paraId="70CAA804" w14:textId="4E49738A" w:rsidR="005944B4" w:rsidRDefault="007D4042" w:rsidP="00CA1ED4">
            <w:pPr>
              <w:pStyle w:val="LFTTabletext"/>
              <w:spacing w:after="0" w:line="240" w:lineRule="auto"/>
              <w:jc w:val="center"/>
              <w:rPr>
                <w:szCs w:val="18"/>
              </w:rPr>
            </w:pPr>
            <w:r>
              <w:rPr>
                <w:szCs w:val="18"/>
              </w:rPr>
              <w:sym w:font="Wingdings" w:char="F0FC"/>
            </w:r>
          </w:p>
        </w:tc>
        <w:tc>
          <w:tcPr>
            <w:tcW w:w="794" w:type="pct"/>
            <w:vAlign w:val="center"/>
          </w:tcPr>
          <w:p w14:paraId="299CA448" w14:textId="7BE76784" w:rsidR="005944B4" w:rsidRDefault="007D4042" w:rsidP="00CA1ED4">
            <w:pPr>
              <w:pStyle w:val="LFTTabletext"/>
              <w:spacing w:after="0" w:line="240" w:lineRule="auto"/>
              <w:jc w:val="center"/>
              <w:rPr>
                <w:szCs w:val="18"/>
              </w:rPr>
            </w:pPr>
            <w:r>
              <w:rPr>
                <w:szCs w:val="18"/>
              </w:rPr>
              <w:sym w:font="Wingdings" w:char="F0FC"/>
            </w:r>
          </w:p>
        </w:tc>
        <w:tc>
          <w:tcPr>
            <w:tcW w:w="927" w:type="pct"/>
            <w:vAlign w:val="center"/>
          </w:tcPr>
          <w:p w14:paraId="79571753" w14:textId="7365DC94" w:rsidR="005944B4" w:rsidRDefault="005944B4" w:rsidP="00CA1ED4">
            <w:pPr>
              <w:pStyle w:val="LFTTabletext"/>
              <w:spacing w:after="0" w:line="240" w:lineRule="auto"/>
              <w:jc w:val="center"/>
              <w:rPr>
                <w:szCs w:val="18"/>
              </w:rPr>
            </w:pPr>
          </w:p>
        </w:tc>
      </w:tr>
      <w:tr w:rsidR="007D4042" w14:paraId="13920979" w14:textId="77777777" w:rsidTr="00CA1ED4">
        <w:tc>
          <w:tcPr>
            <w:tcW w:w="947" w:type="pct"/>
          </w:tcPr>
          <w:p w14:paraId="53D4C4C8" w14:textId="78C8EF52" w:rsidR="005944B4" w:rsidRDefault="005944B4" w:rsidP="00D3416B">
            <w:pPr>
              <w:pStyle w:val="LFTTabletext"/>
              <w:spacing w:after="0" w:line="240" w:lineRule="auto"/>
              <w:rPr>
                <w:szCs w:val="18"/>
              </w:rPr>
            </w:pPr>
            <w:r>
              <w:rPr>
                <w:szCs w:val="18"/>
              </w:rPr>
              <w:t>Bacteria</w:t>
            </w:r>
          </w:p>
        </w:tc>
        <w:tc>
          <w:tcPr>
            <w:tcW w:w="791" w:type="pct"/>
            <w:vAlign w:val="center"/>
          </w:tcPr>
          <w:p w14:paraId="248E0380" w14:textId="44B39DF8" w:rsidR="005944B4" w:rsidRDefault="005944B4" w:rsidP="00CA1ED4">
            <w:pPr>
              <w:pStyle w:val="LFTTabletext"/>
              <w:spacing w:after="0" w:line="240" w:lineRule="auto"/>
              <w:jc w:val="center"/>
              <w:rPr>
                <w:szCs w:val="18"/>
              </w:rPr>
            </w:pPr>
          </w:p>
        </w:tc>
        <w:tc>
          <w:tcPr>
            <w:tcW w:w="769" w:type="pct"/>
            <w:vAlign w:val="center"/>
          </w:tcPr>
          <w:p w14:paraId="77290CFB" w14:textId="18B8D1EE" w:rsidR="005944B4" w:rsidRDefault="007D4042" w:rsidP="00CA1ED4">
            <w:pPr>
              <w:pStyle w:val="LFTTabletext"/>
              <w:spacing w:after="0" w:line="240" w:lineRule="auto"/>
              <w:jc w:val="center"/>
              <w:rPr>
                <w:szCs w:val="18"/>
              </w:rPr>
            </w:pPr>
            <w:r>
              <w:rPr>
                <w:szCs w:val="18"/>
              </w:rPr>
              <w:sym w:font="Wingdings" w:char="F0FC"/>
            </w:r>
          </w:p>
        </w:tc>
        <w:tc>
          <w:tcPr>
            <w:tcW w:w="772" w:type="pct"/>
            <w:vAlign w:val="center"/>
          </w:tcPr>
          <w:p w14:paraId="7CE3DDF5" w14:textId="7584B386" w:rsidR="005944B4" w:rsidRDefault="005944B4" w:rsidP="00CA1ED4">
            <w:pPr>
              <w:pStyle w:val="LFTTabletext"/>
              <w:spacing w:after="0" w:line="240" w:lineRule="auto"/>
              <w:jc w:val="center"/>
              <w:rPr>
                <w:szCs w:val="18"/>
              </w:rPr>
            </w:pPr>
          </w:p>
        </w:tc>
        <w:tc>
          <w:tcPr>
            <w:tcW w:w="794" w:type="pct"/>
            <w:vAlign w:val="center"/>
          </w:tcPr>
          <w:p w14:paraId="4CC70C0B" w14:textId="4A1A81C3" w:rsidR="005944B4" w:rsidRDefault="005944B4" w:rsidP="00CA1ED4">
            <w:pPr>
              <w:pStyle w:val="LFTTabletext"/>
              <w:spacing w:after="0" w:line="240" w:lineRule="auto"/>
              <w:jc w:val="center"/>
              <w:rPr>
                <w:szCs w:val="18"/>
              </w:rPr>
            </w:pPr>
          </w:p>
        </w:tc>
        <w:tc>
          <w:tcPr>
            <w:tcW w:w="927" w:type="pct"/>
            <w:vAlign w:val="center"/>
          </w:tcPr>
          <w:p w14:paraId="0B25EE92" w14:textId="72E24A79" w:rsidR="005944B4" w:rsidRDefault="007D4042" w:rsidP="00CA1ED4">
            <w:pPr>
              <w:pStyle w:val="LFTTabletext"/>
              <w:spacing w:after="0" w:line="240" w:lineRule="auto"/>
              <w:jc w:val="center"/>
              <w:rPr>
                <w:szCs w:val="18"/>
              </w:rPr>
            </w:pPr>
            <w:r>
              <w:rPr>
                <w:szCs w:val="18"/>
              </w:rPr>
              <w:sym w:font="Wingdings" w:char="F0FC"/>
            </w:r>
          </w:p>
        </w:tc>
      </w:tr>
      <w:tr w:rsidR="007D4042" w14:paraId="6F721969" w14:textId="77777777" w:rsidTr="00CA1ED4">
        <w:tc>
          <w:tcPr>
            <w:tcW w:w="947" w:type="pct"/>
          </w:tcPr>
          <w:p w14:paraId="0A2C64A8" w14:textId="4F921A12" w:rsidR="005944B4" w:rsidRDefault="005944B4" w:rsidP="00D3416B">
            <w:pPr>
              <w:pStyle w:val="LFTTabletext"/>
              <w:spacing w:after="0" w:line="240" w:lineRule="auto"/>
              <w:rPr>
                <w:szCs w:val="18"/>
              </w:rPr>
            </w:pPr>
            <w:r>
              <w:rPr>
                <w:szCs w:val="18"/>
              </w:rPr>
              <w:t>Trace metals</w:t>
            </w:r>
          </w:p>
        </w:tc>
        <w:tc>
          <w:tcPr>
            <w:tcW w:w="791" w:type="pct"/>
            <w:vAlign w:val="center"/>
          </w:tcPr>
          <w:p w14:paraId="641E2FEF" w14:textId="0B8B20A3" w:rsidR="005944B4" w:rsidRDefault="007D4042" w:rsidP="00CA1ED4">
            <w:pPr>
              <w:pStyle w:val="LFTTabletext"/>
              <w:spacing w:after="0" w:line="240" w:lineRule="auto"/>
              <w:jc w:val="center"/>
              <w:rPr>
                <w:szCs w:val="18"/>
              </w:rPr>
            </w:pPr>
            <w:r>
              <w:rPr>
                <w:szCs w:val="18"/>
              </w:rPr>
              <w:sym w:font="Wingdings" w:char="F0FC"/>
            </w:r>
          </w:p>
        </w:tc>
        <w:tc>
          <w:tcPr>
            <w:tcW w:w="769" w:type="pct"/>
            <w:vAlign w:val="center"/>
          </w:tcPr>
          <w:p w14:paraId="7521D8C9" w14:textId="4E194089" w:rsidR="005944B4" w:rsidRDefault="005944B4" w:rsidP="00CA1ED4">
            <w:pPr>
              <w:pStyle w:val="LFTTabletext"/>
              <w:spacing w:after="0" w:line="240" w:lineRule="auto"/>
              <w:jc w:val="center"/>
              <w:rPr>
                <w:szCs w:val="18"/>
              </w:rPr>
            </w:pPr>
          </w:p>
        </w:tc>
        <w:tc>
          <w:tcPr>
            <w:tcW w:w="772" w:type="pct"/>
            <w:vAlign w:val="center"/>
          </w:tcPr>
          <w:p w14:paraId="2E86859D" w14:textId="666E32E8" w:rsidR="005944B4" w:rsidRDefault="005944B4" w:rsidP="00CA1ED4">
            <w:pPr>
              <w:pStyle w:val="LFTTabletext"/>
              <w:spacing w:after="0" w:line="240" w:lineRule="auto"/>
              <w:jc w:val="center"/>
              <w:rPr>
                <w:szCs w:val="18"/>
              </w:rPr>
            </w:pPr>
          </w:p>
        </w:tc>
        <w:tc>
          <w:tcPr>
            <w:tcW w:w="794" w:type="pct"/>
            <w:vAlign w:val="center"/>
          </w:tcPr>
          <w:p w14:paraId="79C0B5C4" w14:textId="75F0F884" w:rsidR="005944B4" w:rsidRDefault="007D4042" w:rsidP="00CA1ED4">
            <w:pPr>
              <w:pStyle w:val="LFTTabletext"/>
              <w:spacing w:after="0" w:line="240" w:lineRule="auto"/>
              <w:jc w:val="center"/>
              <w:rPr>
                <w:szCs w:val="18"/>
              </w:rPr>
            </w:pPr>
            <w:r>
              <w:rPr>
                <w:szCs w:val="18"/>
              </w:rPr>
              <w:sym w:font="Wingdings" w:char="F0FC"/>
            </w:r>
          </w:p>
        </w:tc>
        <w:tc>
          <w:tcPr>
            <w:tcW w:w="927" w:type="pct"/>
            <w:vAlign w:val="center"/>
          </w:tcPr>
          <w:p w14:paraId="710A2952" w14:textId="7AF2C269" w:rsidR="005944B4" w:rsidRDefault="005944B4" w:rsidP="00CA1ED4">
            <w:pPr>
              <w:pStyle w:val="LFTTabletext"/>
              <w:spacing w:after="0" w:line="240" w:lineRule="auto"/>
              <w:jc w:val="center"/>
              <w:rPr>
                <w:szCs w:val="18"/>
              </w:rPr>
            </w:pPr>
          </w:p>
        </w:tc>
      </w:tr>
      <w:tr w:rsidR="007D4042" w14:paraId="441507C1" w14:textId="77777777" w:rsidTr="00CA1ED4">
        <w:tc>
          <w:tcPr>
            <w:tcW w:w="947" w:type="pct"/>
          </w:tcPr>
          <w:p w14:paraId="02DC5C8A" w14:textId="5EE81C09" w:rsidR="005944B4" w:rsidRDefault="007D4042" w:rsidP="00D3416B">
            <w:pPr>
              <w:pStyle w:val="LFTTabletext"/>
              <w:spacing w:after="0" w:line="240" w:lineRule="auto"/>
              <w:rPr>
                <w:szCs w:val="18"/>
              </w:rPr>
            </w:pPr>
            <w:r>
              <w:rPr>
                <w:szCs w:val="18"/>
              </w:rPr>
              <w:t>Hydrocarbons</w:t>
            </w:r>
          </w:p>
        </w:tc>
        <w:tc>
          <w:tcPr>
            <w:tcW w:w="791" w:type="pct"/>
            <w:vAlign w:val="center"/>
          </w:tcPr>
          <w:p w14:paraId="5AD6CA29" w14:textId="516785F6" w:rsidR="005944B4" w:rsidRDefault="007D4042" w:rsidP="00CA1ED4">
            <w:pPr>
              <w:pStyle w:val="LFTTabletext"/>
              <w:spacing w:after="0" w:line="240" w:lineRule="auto"/>
              <w:jc w:val="center"/>
              <w:rPr>
                <w:szCs w:val="18"/>
              </w:rPr>
            </w:pPr>
            <w:r>
              <w:rPr>
                <w:szCs w:val="18"/>
              </w:rPr>
              <w:sym w:font="Wingdings" w:char="F0FC"/>
            </w:r>
          </w:p>
        </w:tc>
        <w:tc>
          <w:tcPr>
            <w:tcW w:w="769" w:type="pct"/>
            <w:vAlign w:val="center"/>
          </w:tcPr>
          <w:p w14:paraId="7D16714B" w14:textId="39CDB47E" w:rsidR="005944B4" w:rsidRDefault="005944B4" w:rsidP="00CA1ED4">
            <w:pPr>
              <w:pStyle w:val="LFTTabletext"/>
              <w:spacing w:after="0" w:line="240" w:lineRule="auto"/>
              <w:jc w:val="center"/>
              <w:rPr>
                <w:szCs w:val="18"/>
              </w:rPr>
            </w:pPr>
          </w:p>
        </w:tc>
        <w:tc>
          <w:tcPr>
            <w:tcW w:w="772" w:type="pct"/>
            <w:vAlign w:val="center"/>
          </w:tcPr>
          <w:p w14:paraId="61053864" w14:textId="2CA3D635" w:rsidR="005944B4" w:rsidRDefault="005944B4" w:rsidP="00CA1ED4">
            <w:pPr>
              <w:pStyle w:val="LFTTabletext"/>
              <w:spacing w:after="0" w:line="240" w:lineRule="auto"/>
              <w:jc w:val="center"/>
              <w:rPr>
                <w:szCs w:val="18"/>
              </w:rPr>
            </w:pPr>
          </w:p>
        </w:tc>
        <w:tc>
          <w:tcPr>
            <w:tcW w:w="794" w:type="pct"/>
            <w:vAlign w:val="center"/>
          </w:tcPr>
          <w:p w14:paraId="20512EC5" w14:textId="387AE8A0" w:rsidR="005944B4" w:rsidRDefault="007D4042" w:rsidP="00CA1ED4">
            <w:pPr>
              <w:pStyle w:val="LFTTabletext"/>
              <w:spacing w:after="0" w:line="240" w:lineRule="auto"/>
              <w:jc w:val="center"/>
              <w:rPr>
                <w:szCs w:val="18"/>
              </w:rPr>
            </w:pPr>
            <w:r>
              <w:rPr>
                <w:szCs w:val="18"/>
              </w:rPr>
              <w:sym w:font="Wingdings" w:char="F0FC"/>
            </w:r>
          </w:p>
        </w:tc>
        <w:tc>
          <w:tcPr>
            <w:tcW w:w="927" w:type="pct"/>
            <w:vAlign w:val="center"/>
          </w:tcPr>
          <w:p w14:paraId="657BF842" w14:textId="77777777" w:rsidR="005944B4" w:rsidRDefault="005944B4" w:rsidP="00CA1ED4">
            <w:pPr>
              <w:pStyle w:val="LFTTabletext"/>
              <w:spacing w:after="0" w:line="240" w:lineRule="auto"/>
              <w:jc w:val="center"/>
              <w:rPr>
                <w:szCs w:val="18"/>
              </w:rPr>
            </w:pPr>
          </w:p>
        </w:tc>
      </w:tr>
    </w:tbl>
    <w:p w14:paraId="7488218F" w14:textId="77777777" w:rsidR="005944B4" w:rsidRDefault="005944B4" w:rsidP="00D3416B">
      <w:pPr>
        <w:pStyle w:val="LFTTabletext"/>
        <w:spacing w:after="0" w:line="240" w:lineRule="auto"/>
        <w:rPr>
          <w:szCs w:val="18"/>
        </w:rPr>
      </w:pPr>
    </w:p>
    <w:p w14:paraId="38912943" w14:textId="77777777" w:rsidR="005944B4" w:rsidRDefault="005944B4" w:rsidP="00D3416B">
      <w:pPr>
        <w:pStyle w:val="LFTTabletext"/>
        <w:spacing w:after="0" w:line="240" w:lineRule="auto"/>
        <w:rPr>
          <w:szCs w:val="18"/>
        </w:rPr>
      </w:pPr>
    </w:p>
    <w:p w14:paraId="6F1DA0A8" w14:textId="77777777" w:rsidR="008F3EBF" w:rsidRPr="002D216D" w:rsidRDefault="008F3EBF" w:rsidP="008F3EBF">
      <w:pPr>
        <w:pStyle w:val="LFTBody"/>
      </w:pPr>
      <w:r w:rsidRPr="002D216D">
        <w:t xml:space="preserve">Preventing or minimizing the likelihood of contaminated runoff from leaving a site is the core objective of stormwater management at these </w:t>
      </w:r>
      <w:r>
        <w:t>hotspots</w:t>
      </w:r>
      <w:r w:rsidRPr="002D216D">
        <w:t xml:space="preserve">. Introduction of contaminated runoff to the ground water is probably the greatest concern in developing effective stormwater management plans at PSHs. This is </w:t>
      </w:r>
      <w:r>
        <w:t>because</w:t>
      </w:r>
    </w:p>
    <w:p w14:paraId="5EA94A03" w14:textId="77777777" w:rsidR="008F3EBF" w:rsidRPr="002D216D" w:rsidRDefault="008F3EBF" w:rsidP="008F3EBF">
      <w:pPr>
        <w:pStyle w:val="LFTBullet1"/>
      </w:pPr>
      <w:r>
        <w:t>g</w:t>
      </w:r>
      <w:r w:rsidRPr="002D216D">
        <w:t>round water contamination is hard to detect immediately and therefore can persist over long periods of time prior to any mitigation;</w:t>
      </w:r>
    </w:p>
    <w:p w14:paraId="1F892E08" w14:textId="77777777" w:rsidR="008F3EBF" w:rsidRPr="002D216D" w:rsidRDefault="008F3EBF" w:rsidP="008F3EBF">
      <w:pPr>
        <w:pStyle w:val="LFTBullet1"/>
      </w:pPr>
      <w:r>
        <w:t>t</w:t>
      </w:r>
      <w:r w:rsidRPr="002D216D">
        <w:t>here is an immediate public health threat associated with ground water contamination in areas where ground water is the primary drinking water source, and</w:t>
      </w:r>
    </w:p>
    <w:p w14:paraId="0525813A" w14:textId="795F4D33" w:rsidR="00A809F5" w:rsidRDefault="008F3EBF" w:rsidP="0013580D">
      <w:pPr>
        <w:pStyle w:val="LFTBullet1"/>
        <w:rPr>
          <w:noProof/>
          <w:lang w:bidi="ar-SA"/>
        </w:rPr>
      </w:pPr>
      <w:r>
        <w:t>m</w:t>
      </w:r>
      <w:r w:rsidRPr="002D216D">
        <w:t>itigation, when needed, is often difficult and is usually very expensive.</w:t>
      </w:r>
    </w:p>
    <w:p w14:paraId="5E75250D" w14:textId="73B85BCD" w:rsidR="008F3EBF" w:rsidRDefault="00171FFA" w:rsidP="00AF533C">
      <w:pPr>
        <w:pStyle w:val="LFTBody"/>
        <w:rPr>
          <w:b/>
        </w:rPr>
      </w:pPr>
      <w:r>
        <w:rPr>
          <w:noProof/>
          <w:lang w:bidi="ar-SA"/>
        </w:rPr>
        <w:lastRenderedPageBreak/>
        <w:drawing>
          <wp:inline distT="0" distB="0" distL="0" distR="0" wp14:anchorId="02A6ABA8" wp14:editId="03CE6383">
            <wp:extent cx="3289465" cy="371652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302917" cy="3731725"/>
                    </a:xfrm>
                    <a:prstGeom prst="rect">
                      <a:avLst/>
                    </a:prstGeom>
                  </pic:spPr>
                </pic:pic>
              </a:graphicData>
            </a:graphic>
          </wp:inline>
        </w:drawing>
      </w:r>
    </w:p>
    <w:p w14:paraId="457978C8" w14:textId="399FEBA6" w:rsidR="00DF2E02" w:rsidRPr="00B54AE3" w:rsidRDefault="008F3EBF" w:rsidP="008F3EBF">
      <w:pPr>
        <w:pStyle w:val="LFTBody"/>
      </w:pPr>
      <w:r w:rsidRPr="002D216D">
        <w:rPr>
          <w:b/>
        </w:rPr>
        <w:t>Figure 2</w:t>
      </w:r>
      <w:r>
        <w:rPr>
          <w:b/>
        </w:rPr>
        <w:t>.9 January 2004 location of Source Water Protection Areas in Minnesota.</w:t>
      </w:r>
      <w:r w:rsidR="00DF2E02">
        <w:rPr>
          <w:b/>
        </w:rPr>
        <w:t xml:space="preserve"> </w:t>
      </w:r>
      <w:r w:rsidR="00DF2E02" w:rsidRPr="00B54AE3">
        <w:t>(</w:t>
      </w:r>
      <w:r w:rsidR="0013580D" w:rsidRPr="00B54AE3">
        <w:t>S</w:t>
      </w:r>
      <w:r w:rsidR="00DF2E02" w:rsidRPr="00B54AE3">
        <w:t>ource: CDM Smith, using information from the MN Department of Health,</w:t>
      </w:r>
      <w:r w:rsidR="00B54AE3">
        <w:t xml:space="preserve"> </w:t>
      </w:r>
      <w:hyperlink r:id="rId102" w:history="1">
        <w:r w:rsidR="00B54AE3" w:rsidRPr="007F54CB">
          <w:rPr>
            <w:rStyle w:val="Hyperlink"/>
          </w:rPr>
          <w:t>http://www.health.state.mn.us/divs/eh/water/swp/maps/index.htm</w:t>
        </w:r>
      </w:hyperlink>
      <w:r w:rsidR="00DF2E02" w:rsidRPr="00B54AE3">
        <w:t>)</w:t>
      </w:r>
    </w:p>
    <w:p w14:paraId="33E8AE6E" w14:textId="1C9021FA" w:rsidR="005944B4" w:rsidRDefault="00DF2E02" w:rsidP="0013580D">
      <w:pPr>
        <w:pStyle w:val="LFTBody"/>
      </w:pPr>
      <w:r>
        <w:t>Figure 2.9 shows highlights</w:t>
      </w:r>
      <w:r w:rsidR="008F3EBF">
        <w:t xml:space="preserve"> vulnerability designations for Drinking Water Source Management Areas</w:t>
      </w:r>
      <w:r>
        <w:t xml:space="preserve"> in Minnesota</w:t>
      </w:r>
      <w:r w:rsidR="008F3EBF">
        <w:t xml:space="preserve">, ranges from very low to very high vulnerability, and designation of Source Water Assessment areas as vulnerable to not vulnerable </w:t>
      </w:r>
      <w:r w:rsidR="008F3EBF" w:rsidRPr="00634871">
        <w:rPr>
          <w:color w:val="FF0000"/>
        </w:rPr>
        <w:t>Note: This shows only the public systems covered under the Minnesota Department of Health program. There are thousands of additional private and domestic wells that could be impacted by PSHs and not subject to any special protections against stormwater runoff.</w:t>
      </w:r>
    </w:p>
    <w:p w14:paraId="0E70568B" w14:textId="61A8A778" w:rsidR="004E4F80" w:rsidRPr="004E4F80" w:rsidRDefault="004E4F80" w:rsidP="004E4F80">
      <w:pPr>
        <w:pStyle w:val="LFTHeading3"/>
      </w:pPr>
      <w:bookmarkStart w:id="26" w:name="_Toc395180916"/>
      <w:r>
        <w:t>2.8.2 How to Determine if a PSH is a Hot</w:t>
      </w:r>
      <w:r w:rsidR="002A5DA6">
        <w:t>s</w:t>
      </w:r>
      <w:r>
        <w:t>pot</w:t>
      </w:r>
    </w:p>
    <w:p w14:paraId="62AE2A49" w14:textId="526896B6" w:rsidR="004E4F80" w:rsidRDefault="004E4F80" w:rsidP="004E4F80">
      <w:pPr>
        <w:pStyle w:val="LFTHeading3"/>
        <w:spacing w:afterLines="100" w:after="240" w:line="274" w:lineRule="auto"/>
        <w:rPr>
          <w:rFonts w:asciiTheme="minorHAnsi" w:eastAsiaTheme="minorHAnsi" w:hAnsiTheme="minorHAnsi" w:cstheme="minorBidi"/>
          <w:b w:val="0"/>
          <w:bCs w:val="0"/>
          <w:color w:val="auto"/>
          <w:sz w:val="21"/>
          <w:szCs w:val="22"/>
        </w:rPr>
      </w:pPr>
      <w:r w:rsidRPr="002A5DA6">
        <w:rPr>
          <w:rFonts w:asciiTheme="minorHAnsi" w:eastAsiaTheme="minorHAnsi" w:hAnsiTheme="minorHAnsi" w:cstheme="minorBidi"/>
          <w:bCs w:val="0"/>
          <w:color w:val="auto"/>
          <w:sz w:val="21"/>
          <w:szCs w:val="22"/>
        </w:rPr>
        <w:t>As stated previously, the designation of PS</w:t>
      </w:r>
      <w:r w:rsidR="002A5DA6" w:rsidRPr="002A5DA6">
        <w:rPr>
          <w:rFonts w:asciiTheme="minorHAnsi" w:eastAsiaTheme="minorHAnsi" w:hAnsiTheme="minorHAnsi" w:cstheme="minorBidi"/>
          <w:bCs w:val="0"/>
          <w:color w:val="auto"/>
          <w:sz w:val="21"/>
          <w:szCs w:val="22"/>
        </w:rPr>
        <w:t>H does not mean a site is a hot</w:t>
      </w:r>
      <w:r w:rsidRPr="002A5DA6">
        <w:rPr>
          <w:rFonts w:asciiTheme="minorHAnsi" w:eastAsiaTheme="minorHAnsi" w:hAnsiTheme="minorHAnsi" w:cstheme="minorBidi"/>
          <w:bCs w:val="0"/>
          <w:color w:val="auto"/>
          <w:sz w:val="21"/>
          <w:szCs w:val="22"/>
        </w:rPr>
        <w:t>spot, only that the land use and associated on-site activities have the potential to generate higher pollution runoff loads as compared to their land uses</w:t>
      </w:r>
      <w:r w:rsidR="00217E18">
        <w:rPr>
          <w:rFonts w:asciiTheme="minorHAnsi" w:eastAsiaTheme="minorHAnsi" w:hAnsiTheme="minorHAnsi" w:cstheme="minorBidi"/>
          <w:bCs w:val="0"/>
          <w:color w:val="auto"/>
          <w:sz w:val="21"/>
          <w:szCs w:val="22"/>
        </w:rPr>
        <w:t xml:space="preserve">. </w:t>
      </w:r>
      <w:r w:rsidR="001A4378">
        <w:rPr>
          <w:rFonts w:asciiTheme="minorHAnsi" w:eastAsiaTheme="minorHAnsi" w:hAnsiTheme="minorHAnsi" w:cstheme="minorBidi"/>
          <w:b w:val="0"/>
          <w:bCs w:val="0"/>
          <w:color w:val="auto"/>
          <w:sz w:val="21"/>
          <w:szCs w:val="22"/>
        </w:rPr>
        <w:t>When designing a stormwater management system at these</w:t>
      </w:r>
      <w:r w:rsidR="004B2859">
        <w:rPr>
          <w:rFonts w:asciiTheme="minorHAnsi" w:eastAsiaTheme="minorHAnsi" w:hAnsiTheme="minorHAnsi" w:cstheme="minorBidi"/>
          <w:b w:val="0"/>
          <w:bCs w:val="0"/>
          <w:color w:val="auto"/>
          <w:sz w:val="21"/>
          <w:szCs w:val="22"/>
        </w:rPr>
        <w:t xml:space="preserve"> </w:t>
      </w:r>
      <w:r w:rsidR="001A4378">
        <w:rPr>
          <w:rFonts w:asciiTheme="minorHAnsi" w:eastAsiaTheme="minorHAnsi" w:hAnsiTheme="minorHAnsi" w:cstheme="minorBidi"/>
          <w:b w:val="0"/>
          <w:bCs w:val="0"/>
          <w:color w:val="auto"/>
          <w:sz w:val="21"/>
          <w:szCs w:val="22"/>
        </w:rPr>
        <w:t xml:space="preserve">sites, it is important to determine if the PSH is an actual hotspot. If it is a hotspot, additional stormwater management controls may be needed. </w:t>
      </w:r>
      <w:r>
        <w:rPr>
          <w:rFonts w:asciiTheme="minorHAnsi" w:eastAsiaTheme="minorHAnsi" w:hAnsiTheme="minorHAnsi" w:cstheme="minorBidi"/>
          <w:b w:val="0"/>
          <w:bCs w:val="0"/>
          <w:color w:val="auto"/>
          <w:sz w:val="21"/>
          <w:szCs w:val="22"/>
        </w:rPr>
        <w:t xml:space="preserve">The process of determining whether or not the </w:t>
      </w:r>
      <w:r w:rsidR="005C501A">
        <w:rPr>
          <w:rFonts w:asciiTheme="minorHAnsi" w:eastAsiaTheme="minorHAnsi" w:hAnsiTheme="minorHAnsi" w:cstheme="minorBidi"/>
          <w:b w:val="0"/>
          <w:bCs w:val="0"/>
          <w:color w:val="auto"/>
          <w:sz w:val="21"/>
          <w:szCs w:val="22"/>
        </w:rPr>
        <w:t>PSH</w:t>
      </w:r>
      <w:r>
        <w:rPr>
          <w:rFonts w:asciiTheme="minorHAnsi" w:eastAsiaTheme="minorHAnsi" w:hAnsiTheme="minorHAnsi" w:cstheme="minorBidi"/>
          <w:b w:val="0"/>
          <w:bCs w:val="0"/>
          <w:color w:val="auto"/>
          <w:sz w:val="21"/>
          <w:szCs w:val="22"/>
        </w:rPr>
        <w:t xml:space="preserve"> is a hotspot is as follows:</w:t>
      </w:r>
    </w:p>
    <w:p w14:paraId="675F78A4" w14:textId="58624433" w:rsidR="004E4F80" w:rsidRDefault="004E4F80" w:rsidP="004E4F80">
      <w:pPr>
        <w:pStyle w:val="LFTBody"/>
        <w:spacing w:afterLines="100" w:after="240" w:line="274" w:lineRule="auto"/>
      </w:pPr>
      <w:r w:rsidRPr="004E4F80">
        <w:rPr>
          <w:b/>
        </w:rPr>
        <w:t>Step 1: Consider where the activities take place.</w:t>
      </w:r>
      <w:r>
        <w:t xml:space="preserve"> If all acti</w:t>
      </w:r>
      <w:r w:rsidR="005C501A">
        <w:t>vities using hazardous material</w:t>
      </w:r>
      <w:r>
        <w:t>s occur inside a building, and no materials can be tracked outs</w:t>
      </w:r>
      <w:r w:rsidR="002A5DA6">
        <w:t>ide, then the site is not a hot</w:t>
      </w:r>
      <w:r>
        <w:t xml:space="preserve">spot. The various activities involving hazardous materials should be monitored at regularly scheduled intervals to ensure that nothing changes that would </w:t>
      </w:r>
      <w:r w:rsidR="001A4378">
        <w:t>cause the hazardous materials to come in contact with the runoff.</w:t>
      </w:r>
    </w:p>
    <w:p w14:paraId="2D307E1A" w14:textId="47DB49D4" w:rsidR="004B2859" w:rsidRPr="005C501A" w:rsidRDefault="004B2859" w:rsidP="004B2859">
      <w:pPr>
        <w:pStyle w:val="LFTBody"/>
        <w:spacing w:afterLines="100" w:after="240" w:line="274" w:lineRule="auto"/>
      </w:pPr>
      <w:r>
        <w:rPr>
          <w:b/>
        </w:rPr>
        <w:lastRenderedPageBreak/>
        <w:t xml:space="preserve">Step 2: </w:t>
      </w:r>
      <w:r w:rsidRPr="005C501A">
        <w:rPr>
          <w:b/>
        </w:rPr>
        <w:t>Review the SWPPP, if present.</w:t>
      </w:r>
      <w:r>
        <w:t xml:space="preserve"> Sites subject to NPDES requirements through the Industrial Multi-Sector Permit or the MS4 Municipal General Permit may have created SWPPPs that guide the operations and housekeeping at sites where the potential for increased concentrations of certain pollutants in the runoff. </w:t>
      </w:r>
    </w:p>
    <w:p w14:paraId="1A773F0B" w14:textId="116AA753" w:rsidR="004B2859" w:rsidRPr="004B2859" w:rsidRDefault="004E4F80" w:rsidP="004E4F80">
      <w:pPr>
        <w:pStyle w:val="LFTBody"/>
        <w:spacing w:afterLines="100" w:after="240" w:line="274" w:lineRule="auto"/>
      </w:pPr>
      <w:r w:rsidRPr="005C501A">
        <w:rPr>
          <w:b/>
        </w:rPr>
        <w:t xml:space="preserve">Step </w:t>
      </w:r>
      <w:r w:rsidR="004B2859">
        <w:rPr>
          <w:b/>
        </w:rPr>
        <w:t>3</w:t>
      </w:r>
      <w:r w:rsidRPr="005C501A">
        <w:rPr>
          <w:b/>
        </w:rPr>
        <w:t xml:space="preserve">: </w:t>
      </w:r>
      <w:r w:rsidR="004B2859">
        <w:rPr>
          <w:b/>
        </w:rPr>
        <w:t>Conduct a site inspection.</w:t>
      </w:r>
      <w:r w:rsidR="004B2859">
        <w:t xml:space="preserve"> The </w:t>
      </w:r>
      <w:hyperlink r:id="rId103" w:history="1">
        <w:r w:rsidR="004B2859" w:rsidRPr="00A47ABE">
          <w:rPr>
            <w:rStyle w:val="Hyperlink"/>
          </w:rPr>
          <w:t>Center for Watershed Protection</w:t>
        </w:r>
      </w:hyperlink>
      <w:r w:rsidR="004B2859">
        <w:t xml:space="preserve"> (CWP) has developed inspection forms that can be used to record physical operations and observations at a site to assess whether the site should be designated as a hotspot. For sites with a SWPPP, the inspection should include whether the site is operated in compliance with the requirements in the SWPPP.  </w:t>
      </w:r>
      <w:r w:rsidR="00A47ABE">
        <w:t>The CWP form includes an overall assessment of whether to designate the site as a hotspot.</w:t>
      </w:r>
    </w:p>
    <w:p w14:paraId="79C6A124" w14:textId="31379B06" w:rsidR="004E4F80" w:rsidRDefault="004E4F80" w:rsidP="005C501A">
      <w:pPr>
        <w:pStyle w:val="LFTBody"/>
        <w:spacing w:afterLines="100" w:after="240" w:line="274" w:lineRule="auto"/>
      </w:pPr>
      <w:r w:rsidRPr="00756EB9">
        <w:rPr>
          <w:b/>
        </w:rPr>
        <w:t xml:space="preserve">Step </w:t>
      </w:r>
      <w:r w:rsidR="004B2859">
        <w:rPr>
          <w:b/>
        </w:rPr>
        <w:t>4</w:t>
      </w:r>
      <w:r w:rsidRPr="00756EB9">
        <w:rPr>
          <w:b/>
        </w:rPr>
        <w:t xml:space="preserve">: </w:t>
      </w:r>
      <w:r w:rsidR="00756EB9" w:rsidRPr="00756EB9">
        <w:rPr>
          <w:b/>
        </w:rPr>
        <w:t>Sample collection and analysis.</w:t>
      </w:r>
      <w:r w:rsidR="00756EB9">
        <w:t xml:space="preserve"> </w:t>
      </w:r>
      <w:r w:rsidR="00BE3992">
        <w:t>F</w:t>
      </w:r>
      <w:r w:rsidR="00756EB9">
        <w:t xml:space="preserve">urther analysis </w:t>
      </w:r>
      <w:r w:rsidR="00BE3992">
        <w:t>may be</w:t>
      </w:r>
      <w:r w:rsidR="00756EB9">
        <w:t xml:space="preserve"> required</w:t>
      </w:r>
      <w:r w:rsidR="005C501A">
        <w:t xml:space="preserve"> to determine if the PSH is a hotspot</w:t>
      </w:r>
      <w:r w:rsidR="00756EB9">
        <w:t>. Samples of the stormwater runoff at the site should be collected and analyzed for the pollutants of concern. Samples need to be collected form the runoff that is in contact with the hazardous waste to ensure that there is ac</w:t>
      </w:r>
      <w:r w:rsidR="005C501A">
        <w:t>curate site characterization.</w:t>
      </w:r>
      <w:r w:rsidR="005360D0">
        <w:t xml:space="preserve">  Recommendations for design adjustments are included in the following section.</w:t>
      </w:r>
      <w:r w:rsidR="00BE3992">
        <w:t xml:space="preserve"> </w:t>
      </w:r>
    </w:p>
    <w:p w14:paraId="7CEFF25C" w14:textId="249E0461" w:rsidR="001F046A" w:rsidRDefault="00C66CED" w:rsidP="00C66CED">
      <w:pPr>
        <w:pStyle w:val="LFTHeading3"/>
      </w:pPr>
      <w:bookmarkStart w:id="27" w:name="_Toc395180928"/>
      <w:bookmarkEnd w:id="26"/>
      <w:r>
        <w:t>2.8.</w:t>
      </w:r>
      <w:bookmarkEnd w:id="27"/>
      <w:r w:rsidR="004E4F80">
        <w:t xml:space="preserve">3 </w:t>
      </w:r>
      <w:r w:rsidR="00437428" w:rsidRPr="00D91C6D">
        <w:t xml:space="preserve">What are General Stormwater Management Guidelines </w:t>
      </w:r>
      <w:r w:rsidR="00437428">
        <w:t xml:space="preserve">at </w:t>
      </w:r>
      <w:r w:rsidR="005C501A">
        <w:t>PSHs and Hotspots</w:t>
      </w:r>
      <w:r w:rsidR="00437428" w:rsidRPr="00D91C6D">
        <w:t>?</w:t>
      </w:r>
    </w:p>
    <w:p w14:paraId="1C31B307" w14:textId="318D3737" w:rsidR="001F046A" w:rsidRPr="002D216D" w:rsidRDefault="00A272FD" w:rsidP="00C66CED">
      <w:pPr>
        <w:pStyle w:val="LFTBody"/>
      </w:pPr>
      <w:r>
        <w:t xml:space="preserve">Even if a PSH is determined to not be a hotspot, some additional considerations are </w:t>
      </w:r>
      <w:r w:rsidR="00EE42B3">
        <w:t>needed</w:t>
      </w:r>
      <w:r>
        <w:t xml:space="preserve"> for stormwater management. </w:t>
      </w:r>
      <w:r w:rsidR="001F046A" w:rsidRPr="002D216D">
        <w:t xml:space="preserve">Runoff management at </w:t>
      </w:r>
      <w:r w:rsidR="005C501A">
        <w:t>PSHs and hotspots</w:t>
      </w:r>
      <w:r w:rsidR="00756EB9" w:rsidRPr="002D216D">
        <w:t xml:space="preserve"> </w:t>
      </w:r>
      <w:r w:rsidR="001F046A" w:rsidRPr="002D216D">
        <w:t>should be linked to the pollutant(s) of greatest concern</w:t>
      </w:r>
      <w:r w:rsidR="00CC710F">
        <w:t>. U</w:t>
      </w:r>
      <w:r w:rsidR="001F046A" w:rsidRPr="002D216D">
        <w:t>nderstanding the pollutants potentially generated by a site operation provides designers with important information on proper selection, siting, design, and maintenance of nonstructural (e.g., source control or pollution prevention) and structural practices that will be most effective at the site.</w:t>
      </w:r>
      <w:r w:rsidR="005C501A">
        <w:t xml:space="preserve"> Active</w:t>
      </w:r>
      <w:r w:rsidR="005360D0">
        <w:t xml:space="preserve"> inspection and</w:t>
      </w:r>
      <w:r w:rsidR="005C501A">
        <w:t xml:space="preserve"> monitoring of the site activities is required to ensure that a PSH does not become a hotspot.</w:t>
      </w:r>
    </w:p>
    <w:p w14:paraId="39ADD3E8" w14:textId="795D2DE7" w:rsidR="001F046A" w:rsidRPr="002D216D" w:rsidRDefault="00CC710F" w:rsidP="00C66CED">
      <w:pPr>
        <w:pStyle w:val="LFTBody"/>
      </w:pPr>
      <w:r>
        <w:t>N</w:t>
      </w:r>
      <w:r w:rsidR="001F046A" w:rsidRPr="002D216D">
        <w:t>on-structural approach</w:t>
      </w:r>
      <w:r>
        <w:t>es</w:t>
      </w:r>
      <w:r w:rsidR="001F046A">
        <w:t xml:space="preserve"> such as sweeping, indoor storage, employee training</w:t>
      </w:r>
      <w:r w:rsidR="005C501A">
        <w:t>,</w:t>
      </w:r>
      <w:r w:rsidR="001F046A">
        <w:t xml:space="preserve"> and frequent trash collection</w:t>
      </w:r>
      <w:r w:rsidR="001F046A" w:rsidRPr="002D216D">
        <w:t xml:space="preserve"> should be employed as much as possible. Not only will it prevent stormwater generation, it is also the most cost effective approach. To do this effectively, it is necessary to have a thorough understanding of a site and the respective areas of the site where specific operations will occur. Hogland, et al. (2003) suggest the following principles for design</w:t>
      </w:r>
      <w:r>
        <w:t xml:space="preserve"> at</w:t>
      </w:r>
      <w:r w:rsidR="00756EB9">
        <w:t xml:space="preserve"> </w:t>
      </w:r>
      <w:r w:rsidR="00A272FD">
        <w:t xml:space="preserve">PSHs and </w:t>
      </w:r>
      <w:r w:rsidR="00756EB9">
        <w:t>hotspots</w:t>
      </w:r>
      <w:r w:rsidR="001F046A" w:rsidRPr="002D216D">
        <w:t>.</w:t>
      </w:r>
    </w:p>
    <w:p w14:paraId="5CA7463E" w14:textId="4CB6424E" w:rsidR="001F046A" w:rsidRPr="002D216D" w:rsidRDefault="001F046A" w:rsidP="00C66CED">
      <w:pPr>
        <w:pStyle w:val="LFTBullet1"/>
      </w:pPr>
      <w:r w:rsidRPr="002D216D">
        <w:t>Develop detailed mapping of the different areas of the site along with associated planned activities and the preliminary drainage design.</w:t>
      </w:r>
      <w:r w:rsidR="00CC710F">
        <w:t xml:space="preserve"> Identify PSHs on the site (i.e. areas where pollutants may potentially be released)</w:t>
      </w:r>
      <w:r w:rsidR="00A272FD">
        <w:t xml:space="preserve"> and attempt to eliminate or minimize the likelihood there will be a release</w:t>
      </w:r>
      <w:r w:rsidR="00CC710F">
        <w:t>. Within PSHs,</w:t>
      </w:r>
    </w:p>
    <w:p w14:paraId="3672E993" w14:textId="77777777" w:rsidR="001F046A" w:rsidRPr="002D216D" w:rsidRDefault="001F046A" w:rsidP="00B54AE3">
      <w:pPr>
        <w:pStyle w:val="LFTBullet2"/>
      </w:pPr>
      <w:r w:rsidRPr="002D216D">
        <w:t>Prevent or confine drips and spills.</w:t>
      </w:r>
    </w:p>
    <w:p w14:paraId="7177803F" w14:textId="77777777" w:rsidR="001F046A" w:rsidRPr="002D216D" w:rsidRDefault="001F046A" w:rsidP="00B54AE3">
      <w:pPr>
        <w:pStyle w:val="LFTBullet2"/>
      </w:pPr>
      <w:r w:rsidRPr="002D216D">
        <w:t>Enclose or cover pollutant generating activity areas and regularly provide cleanup of these areas.</w:t>
      </w:r>
    </w:p>
    <w:p w14:paraId="107FD48B" w14:textId="77777777" w:rsidR="001F046A" w:rsidRPr="002D216D" w:rsidRDefault="001F046A" w:rsidP="00C66CED">
      <w:pPr>
        <w:pStyle w:val="LFTBullet1"/>
      </w:pPr>
      <w:r w:rsidRPr="002D216D">
        <w:t>Provide spill prevention and clean-up equipment at strategic locations on site.</w:t>
      </w:r>
    </w:p>
    <w:p w14:paraId="1309A274" w14:textId="77777777" w:rsidR="001F046A" w:rsidRPr="002D216D" w:rsidRDefault="001F046A" w:rsidP="00C66CED">
      <w:pPr>
        <w:pStyle w:val="LFTBullet1"/>
      </w:pPr>
      <w:r w:rsidRPr="002D216D">
        <w:t>Provide pre-treatment and spill containment measures such as catch basins and inserts, oil-water separators, etc.</w:t>
      </w:r>
    </w:p>
    <w:p w14:paraId="73A9FA54" w14:textId="0F0C6711" w:rsidR="001F046A" w:rsidRPr="002D216D" w:rsidRDefault="001F046A" w:rsidP="00C66CED">
      <w:pPr>
        <w:pStyle w:val="LFTBullet1"/>
      </w:pPr>
      <w:r w:rsidRPr="002D216D">
        <w:lastRenderedPageBreak/>
        <w:t xml:space="preserve">Strategically locate slopes and separation berms to prevent co-mingling of </w:t>
      </w:r>
      <w:r w:rsidR="005C501A">
        <w:t>the runoff that does and does not come in contact with the pollutant of concern.</w:t>
      </w:r>
    </w:p>
    <w:p w14:paraId="5AF55F93" w14:textId="77777777" w:rsidR="001F046A" w:rsidRPr="002D216D" w:rsidRDefault="001F046A" w:rsidP="00C66CED">
      <w:pPr>
        <w:pStyle w:val="LFTBullet1"/>
      </w:pPr>
      <w:r w:rsidRPr="002D216D">
        <w:t>Retain and reuse stormwater for irrigation, wash down water, or other onsite uses.</w:t>
      </w:r>
    </w:p>
    <w:p w14:paraId="12607C5F" w14:textId="77777777" w:rsidR="001F046A" w:rsidRPr="002D216D" w:rsidRDefault="001F046A" w:rsidP="00C66CED">
      <w:pPr>
        <w:pStyle w:val="LFTBullet1"/>
      </w:pPr>
      <w:r w:rsidRPr="002D216D">
        <w:t>Maintain equipment to minimize leaks.</w:t>
      </w:r>
    </w:p>
    <w:p w14:paraId="1A90068E" w14:textId="77777777" w:rsidR="001F046A" w:rsidRPr="002D216D" w:rsidRDefault="001F046A" w:rsidP="00C66CED">
      <w:pPr>
        <w:pStyle w:val="LFTBullet1"/>
      </w:pPr>
      <w:r w:rsidRPr="002D216D">
        <w:t>Train and educate employees, management and customers.</w:t>
      </w:r>
    </w:p>
    <w:p w14:paraId="22583859" w14:textId="77777777" w:rsidR="001F046A" w:rsidRPr="002D216D" w:rsidRDefault="001F046A" w:rsidP="00C66CED">
      <w:pPr>
        <w:pStyle w:val="LFTBody"/>
      </w:pPr>
      <w:r w:rsidRPr="002D216D">
        <w:t>Meeting the design intent of the non-structural practices above typically involves simple and low-cost measures to address routine operations at a site. For example, the non-structural design components for a vehicle maintenance operation might involve the use of drip pans under vehicles, tarps covering disabled vehicles, dry cleanup methods for spills, proper disposal of used fluids, and covering and secondary containment for any outdoor storage areas.</w:t>
      </w:r>
    </w:p>
    <w:p w14:paraId="2D76821A" w14:textId="77777777" w:rsidR="001F046A" w:rsidRPr="002D216D" w:rsidRDefault="001F046A" w:rsidP="00C66CED">
      <w:pPr>
        <w:pStyle w:val="LFTBody"/>
      </w:pPr>
      <w:r w:rsidRPr="002D216D">
        <w:t xml:space="preserve">Each of these practices also requires employee training and strong management commitment. In most cases, these practices save time and money, reduce liability and do not greatly interfere with normal operations. A more complete summary of 15 basic pollution prevention practices applied at PSH operations is provided in the table </w:t>
      </w:r>
      <w:hyperlink r:id="rId104" w:history="1">
        <w:r w:rsidRPr="00C66CED">
          <w:rPr>
            <w:rStyle w:val="Hyperlink"/>
          </w:rPr>
          <w:t>here</w:t>
        </w:r>
      </w:hyperlink>
      <w:r w:rsidRPr="002D216D">
        <w:t>.</w:t>
      </w:r>
    </w:p>
    <w:p w14:paraId="3D466175" w14:textId="3C835CA9" w:rsidR="005360D0" w:rsidRPr="00171FFA" w:rsidRDefault="001F046A" w:rsidP="005360D0">
      <w:pPr>
        <w:pStyle w:val="LFTBullet1"/>
        <w:numPr>
          <w:ilvl w:val="0"/>
          <w:numId w:val="0"/>
        </w:numPr>
      </w:pPr>
      <w:r w:rsidRPr="002D216D">
        <w:t>After considering the non-structural elements to incorporate into a site, designers need to assess what structural practices will provid</w:t>
      </w:r>
      <w:r w:rsidR="000650B5">
        <w:t>e</w:t>
      </w:r>
      <w:r w:rsidRPr="002D216D">
        <w:t xml:space="preserve"> the greatest pollutant loading reductions for targeted pollutants</w:t>
      </w:r>
      <w:r w:rsidR="005C501A">
        <w:t xml:space="preserve">, if the pollutant is present in the runoff, </w:t>
      </w:r>
      <w:r w:rsidR="000650B5">
        <w:t>given site constraints</w:t>
      </w:r>
      <w:r w:rsidRPr="002D216D">
        <w:t xml:space="preserve">. Details on BMP design and performance can </w:t>
      </w:r>
      <w:r w:rsidRPr="00171FFA">
        <w:t>be found within web pages for individual BMPs.</w:t>
      </w:r>
      <w:r w:rsidR="005360D0" w:rsidRPr="00171FFA">
        <w:t xml:space="preserve">  </w:t>
      </w:r>
    </w:p>
    <w:p w14:paraId="1AFA7248" w14:textId="612C81B1" w:rsidR="001F046A" w:rsidRPr="002D216D" w:rsidRDefault="001F046A" w:rsidP="00C66CED">
      <w:pPr>
        <w:pStyle w:val="LFTBody"/>
      </w:pPr>
      <w:r w:rsidRPr="00171FFA">
        <w:t xml:space="preserve">Caution, the literature contains a large amount of information concerning BMP removal capability for a range of common pollutants. When using this information, be aware of the assumptions and limitations of the data. Some of this data has been compiled for this Manual. See data on BMP removal for the following pollutants but note that this is removal from the runoff that reaches the BMP only. It does not include any of the water that bypasses the system. In the case of infiltration BMPs, the values shown are for the pollution reduction from the runoff and does not take into account the fate and potential transport of the pollution within the system. Targeted pollutants are phosphorous, TSS, TN, hydrocarbons, bacteria, and </w:t>
      </w:r>
      <w:r w:rsidRPr="00CB4658">
        <w:t>metals.</w:t>
      </w:r>
    </w:p>
    <w:p w14:paraId="14FEE40A" w14:textId="5D1ABECD" w:rsidR="001F046A" w:rsidRPr="002D216D" w:rsidRDefault="000650B5" w:rsidP="00C66CED">
      <w:pPr>
        <w:pStyle w:val="LFTBody"/>
      </w:pPr>
      <w:r>
        <w:t>The</w:t>
      </w:r>
      <w:r w:rsidR="001F046A" w:rsidRPr="002D216D">
        <w:t xml:space="preserve"> receiving water designation or watershed classification </w:t>
      </w:r>
      <w:r>
        <w:t>often</w:t>
      </w:r>
      <w:r w:rsidR="001F046A" w:rsidRPr="002D216D">
        <w:t xml:space="preserve"> drive</w:t>
      </w:r>
      <w:r>
        <w:t>s</w:t>
      </w:r>
      <w:r w:rsidR="001F046A" w:rsidRPr="002D216D">
        <w:t xml:space="preserve"> the criteria and associated practices that are acceptable for use. However, a</w:t>
      </w:r>
      <w:r w:rsidR="00CF7241">
        <w:t>t</w:t>
      </w:r>
      <w:r w:rsidR="001F046A" w:rsidRPr="002D216D">
        <w:t xml:space="preserve"> PSH</w:t>
      </w:r>
      <w:r w:rsidR="00CF7241">
        <w:t>s</w:t>
      </w:r>
      <w:r w:rsidR="001F046A" w:rsidRPr="002D216D">
        <w:t xml:space="preserve"> there </w:t>
      </w:r>
      <w:r w:rsidR="00CF7241">
        <w:t>is</w:t>
      </w:r>
      <w:r w:rsidR="001F046A" w:rsidRPr="002D216D">
        <w:t xml:space="preserve"> a set of general guidelines to consider when designing structural stormwater management systems. The following should be carefully considered by designers when specifying and siting practices at PSHs</w:t>
      </w:r>
      <w:r w:rsidR="005C501A">
        <w:t>, specifically when it is determined that the site is an actual hotspot.</w:t>
      </w:r>
    </w:p>
    <w:p w14:paraId="48554808" w14:textId="75451C63" w:rsidR="001F046A" w:rsidRDefault="001F046A" w:rsidP="00C66CED">
      <w:pPr>
        <w:pStyle w:val="LFTBullet1"/>
      </w:pPr>
      <w:r w:rsidRPr="005C501A">
        <w:rPr>
          <w:b/>
        </w:rPr>
        <w:t>Pre-treatment.</w:t>
      </w:r>
      <w:r w:rsidRPr="002D216D">
        <w:t xml:space="preserve"> This includes properly sizing sediment trapping features such as forebays and sedimentation chambers; incorporating appropriate proprietary and nonproprietary practices for spill control purposes and treatment redundancy; oversizing pre-treatment features for infiltration facilities such as swales, filter strips, and level spreaders; and ensuring full site stabilization before bringing practices online.</w:t>
      </w:r>
      <w:r w:rsidR="00F65B56">
        <w:t xml:space="preserve"> If infiltration is to be utilized, appropriate site and conveyance designs are needed and the pre-treatment BMP size should be increased, or design redundancies are needed.</w:t>
      </w:r>
    </w:p>
    <w:p w14:paraId="4EACAABB" w14:textId="675314D5" w:rsidR="00F65B56" w:rsidRPr="002D216D" w:rsidRDefault="00F65B56" w:rsidP="00F65B56">
      <w:pPr>
        <w:pStyle w:val="LFTBullet1"/>
      </w:pPr>
      <w:r w:rsidRPr="005C501A">
        <w:rPr>
          <w:b/>
        </w:rPr>
        <w:t xml:space="preserve">If pollutant generating activities exist on a site, runoff from these areas should be treated separately from other runoff at the site. </w:t>
      </w:r>
      <w:r>
        <w:t>BMPs</w:t>
      </w:r>
      <w:r w:rsidRPr="002D216D">
        <w:t xml:space="preserve"> such as bioretention, ponds and wetlands that </w:t>
      </w:r>
      <w:r w:rsidRPr="002D216D">
        <w:lastRenderedPageBreak/>
        <w:t>receive runoff from pollutant generating activities should be designed with the necessary features to minimize the chance of groundwater contamination. This includes using impermeable liners. The use of </w:t>
      </w:r>
      <w:hyperlink r:id="rId105" w:tooltip="Stormwater ponds" w:history="1">
        <w:r w:rsidRPr="002D216D">
          <w:t>ponds</w:t>
        </w:r>
      </w:hyperlink>
      <w:r w:rsidRPr="002D216D">
        <w:t> and </w:t>
      </w:r>
      <w:hyperlink r:id="rId106" w:tooltip="Stormwater wetlands" w:history="1">
        <w:r w:rsidRPr="002D216D">
          <w:t>wetlands</w:t>
        </w:r>
      </w:hyperlink>
      <w:r w:rsidRPr="002D216D">
        <w:t> without liners should also be avoided where water tables are shallow and the practice would likely intercept the water table.</w:t>
      </w:r>
      <w:r w:rsidR="005360D0">
        <w:t xml:space="preserve"> </w:t>
      </w:r>
      <w:r w:rsidR="005360D0" w:rsidRPr="005360D0">
        <w:rPr>
          <w:b/>
        </w:rPr>
        <w:t xml:space="preserve">Bioretention BMPs can be designed and constructed with adjusted </w:t>
      </w:r>
      <w:hyperlink r:id="rId107" w:history="1">
        <w:r w:rsidR="005360D0" w:rsidRPr="005360D0">
          <w:rPr>
            <w:rStyle w:val="Hyperlink"/>
            <w:b/>
          </w:rPr>
          <w:t>media content</w:t>
        </w:r>
      </w:hyperlink>
      <w:r w:rsidR="005360D0" w:rsidRPr="005360D0">
        <w:rPr>
          <w:b/>
        </w:rPr>
        <w:t xml:space="preserve"> and </w:t>
      </w:r>
      <w:hyperlink r:id="rId108" w:history="1">
        <w:r w:rsidR="005360D0" w:rsidRPr="005360D0">
          <w:rPr>
            <w:rStyle w:val="Hyperlink"/>
            <w:b/>
          </w:rPr>
          <w:t>media depth</w:t>
        </w:r>
      </w:hyperlink>
      <w:r w:rsidR="005360D0">
        <w:t xml:space="preserve"> according to the </w:t>
      </w:r>
      <w:hyperlink r:id="rId109" w:history="1">
        <w:r w:rsidR="005360D0" w:rsidRPr="00BE3992">
          <w:rPr>
            <w:rStyle w:val="Hyperlink"/>
          </w:rPr>
          <w:t>Bioretention Design Guidelines</w:t>
        </w:r>
      </w:hyperlink>
      <w:r w:rsidR="005360D0">
        <w:t xml:space="preserve"> to accommodate the pollutants of concern.   </w:t>
      </w:r>
    </w:p>
    <w:p w14:paraId="0AB9363F" w14:textId="64F15906" w:rsidR="001F046A" w:rsidRPr="002D216D" w:rsidRDefault="001F046A" w:rsidP="00C66CED">
      <w:pPr>
        <w:pStyle w:val="LFTBullet1"/>
      </w:pPr>
      <w:r w:rsidRPr="005C501A">
        <w:rPr>
          <w:b/>
        </w:rPr>
        <w:t xml:space="preserve">Consider </w:t>
      </w:r>
      <w:r w:rsidR="00CF7241" w:rsidRPr="005C501A">
        <w:rPr>
          <w:b/>
        </w:rPr>
        <w:t>use of</w:t>
      </w:r>
      <w:r w:rsidRPr="005C501A">
        <w:rPr>
          <w:b/>
        </w:rPr>
        <w:t xml:space="preserve"> liners, under-drains, or comparable safeguards against infiltration</w:t>
      </w:r>
      <w:r w:rsidRPr="002D216D">
        <w:t xml:space="preserve"> </w:t>
      </w:r>
      <w:r w:rsidR="00CF7241">
        <w:t>when runoff exceeds target concentrations</w:t>
      </w:r>
      <w:r w:rsidRPr="002D216D">
        <w:t>.</w:t>
      </w:r>
    </w:p>
    <w:p w14:paraId="7E62D278" w14:textId="77777777" w:rsidR="001F046A" w:rsidRPr="002D216D" w:rsidRDefault="001F046A" w:rsidP="00C66CED">
      <w:pPr>
        <w:pStyle w:val="LFTBullet1"/>
      </w:pPr>
      <w:r w:rsidRPr="005C501A">
        <w:rPr>
          <w:b/>
        </w:rPr>
        <w:t xml:space="preserve">Locate practices offline and minimize offsite run-on </w:t>
      </w:r>
      <w:r w:rsidRPr="002D216D">
        <w:t>with appropriate diversions.</w:t>
      </w:r>
    </w:p>
    <w:p w14:paraId="30313FA7" w14:textId="3F78EDB0" w:rsidR="001F046A" w:rsidRDefault="001F046A" w:rsidP="00C66CED">
      <w:pPr>
        <w:pStyle w:val="LFTBullet1"/>
      </w:pPr>
      <w:r w:rsidRPr="005C501A">
        <w:rPr>
          <w:b/>
        </w:rPr>
        <w:t>Establish rigorous maintenance and inspection schedules</w:t>
      </w:r>
      <w:r w:rsidRPr="002D216D">
        <w:t xml:space="preserve"> for practices receiving the </w:t>
      </w:r>
      <w:r w:rsidR="005360D0">
        <w:t>runoff from the hotspot areas of concern</w:t>
      </w:r>
      <w:r w:rsidRPr="002D216D">
        <w:t>.</w:t>
      </w:r>
    </w:p>
    <w:p w14:paraId="1B5737D1" w14:textId="3F4528A7" w:rsidR="008F3EBF" w:rsidRPr="002D216D" w:rsidRDefault="008F3EBF" w:rsidP="008F3EBF">
      <w:pPr>
        <w:pStyle w:val="LFTBody"/>
      </w:pPr>
      <w:r>
        <w:t>Table 2.8</w:t>
      </w:r>
      <w:r w:rsidRPr="002D216D">
        <w:t xml:space="preserve"> provides </w:t>
      </w:r>
      <w:r>
        <w:t>general</w:t>
      </w:r>
      <w:r w:rsidRPr="002D216D">
        <w:t xml:space="preserve"> infiltration guidelines associated with six operational areas. Infiltration at </w:t>
      </w:r>
      <w:r>
        <w:t>hotspots</w:t>
      </w:r>
      <w:r w:rsidRPr="002D216D">
        <w:t xml:space="preserve"> relies on overall site design and facility operations management. Good design and committed, well-trained facility staff should make infiltration possible for certain areas of the site. Where uncertainty is present, designers should avoid infiltration practices. The Minnesota Department of Health recommends that infiltration</w:t>
      </w:r>
      <w:r>
        <w:t xml:space="preserve"> of runoff from PSHs, even if they are not actual hotspots, </w:t>
      </w:r>
      <w:r w:rsidRPr="002D216D">
        <w:t xml:space="preserve">should not be used within the </w:t>
      </w:r>
      <w:r>
        <w:t xml:space="preserve">1 </w:t>
      </w:r>
      <w:r w:rsidRPr="002D216D">
        <w:t>year wellhead protection area and limited in vulnerable wells for the 10</w:t>
      </w:r>
      <w:r>
        <w:t xml:space="preserve"> </w:t>
      </w:r>
      <w:r w:rsidRPr="002D216D">
        <w:t>year wellhead protection area.</w:t>
      </w:r>
    </w:p>
    <w:p w14:paraId="7C0516E0" w14:textId="77777777" w:rsidR="008F3EBF" w:rsidRPr="00A576FF" w:rsidRDefault="008F3EBF" w:rsidP="008F3EBF">
      <w:pPr>
        <w:pStyle w:val="LFTTableTitle"/>
      </w:pPr>
      <w:r w:rsidRPr="000D50CE">
        <w:t xml:space="preserve">Table </w:t>
      </w:r>
      <w:r>
        <w:t>2.8 Infiltration Guidelines for Potential Stormwater Hotspots</w:t>
      </w:r>
    </w:p>
    <w:tbl>
      <w:tblPr>
        <w:tblStyle w:val="TableGrid"/>
        <w:tblW w:w="0" w:type="auto"/>
        <w:tblLook w:val="04A0" w:firstRow="1" w:lastRow="0" w:firstColumn="1" w:lastColumn="0" w:noHBand="0" w:noVBand="1"/>
      </w:tblPr>
      <w:tblGrid>
        <w:gridCol w:w="1468"/>
        <w:gridCol w:w="6740"/>
      </w:tblGrid>
      <w:tr w:rsidR="008F3EBF" w:rsidRPr="00313102" w14:paraId="30EF722F" w14:textId="77777777" w:rsidTr="00AC1172">
        <w:tc>
          <w:tcPr>
            <w:tcW w:w="1468" w:type="dxa"/>
            <w:tcBorders>
              <w:top w:val="single" w:sz="4" w:space="0" w:color="auto"/>
              <w:left w:val="single" w:sz="4" w:space="0" w:color="auto"/>
              <w:bottom w:val="single" w:sz="4" w:space="0" w:color="auto"/>
              <w:right w:val="single" w:sz="4" w:space="0" w:color="FFFBF0" w:themeColor="background1"/>
            </w:tcBorders>
            <w:shd w:val="clear" w:color="auto" w:fill="00539B" w:themeFill="text2"/>
            <w:hideMark/>
          </w:tcPr>
          <w:p w14:paraId="6A4B9A4A" w14:textId="77777777" w:rsidR="008F3EBF" w:rsidRPr="008F3EBF" w:rsidRDefault="008F3EBF" w:rsidP="00AC1172">
            <w:pPr>
              <w:pStyle w:val="LFTTableheader2"/>
              <w:jc w:val="center"/>
              <w:rPr>
                <w:color w:val="FFFBF0" w:themeColor="background1"/>
              </w:rPr>
            </w:pPr>
            <w:r w:rsidRPr="008F3EBF">
              <w:rPr>
                <w:color w:val="FFFBF0" w:themeColor="background1"/>
              </w:rPr>
              <w:t>Operational Area</w:t>
            </w:r>
          </w:p>
        </w:tc>
        <w:tc>
          <w:tcPr>
            <w:tcW w:w="6740" w:type="dxa"/>
            <w:tcBorders>
              <w:top w:val="single" w:sz="4" w:space="0" w:color="auto"/>
              <w:left w:val="single" w:sz="4" w:space="0" w:color="FFFBF0" w:themeColor="background1"/>
              <w:bottom w:val="single" w:sz="4" w:space="0" w:color="auto"/>
              <w:right w:val="single" w:sz="4" w:space="0" w:color="auto"/>
            </w:tcBorders>
            <w:shd w:val="clear" w:color="auto" w:fill="00539B" w:themeFill="text2"/>
            <w:hideMark/>
          </w:tcPr>
          <w:p w14:paraId="716B0017" w14:textId="77777777" w:rsidR="008F3EBF" w:rsidRPr="008F3EBF" w:rsidRDefault="008F3EBF" w:rsidP="00AC1172">
            <w:pPr>
              <w:pStyle w:val="LFTTableheader2"/>
              <w:jc w:val="center"/>
              <w:rPr>
                <w:color w:val="FFFBF0" w:themeColor="background1"/>
              </w:rPr>
            </w:pPr>
            <w:r w:rsidRPr="008F3EBF">
              <w:rPr>
                <w:color w:val="FFFBF0" w:themeColor="background1"/>
              </w:rPr>
              <w:t>Potential Infiltration Guidelines</w:t>
            </w:r>
          </w:p>
        </w:tc>
      </w:tr>
      <w:tr w:rsidR="008F3EBF" w:rsidRPr="00175054" w14:paraId="4846734F" w14:textId="77777777" w:rsidTr="00AC1172">
        <w:trPr>
          <w:trHeight w:val="440"/>
        </w:trPr>
        <w:tc>
          <w:tcPr>
            <w:tcW w:w="1468" w:type="dxa"/>
            <w:tcBorders>
              <w:top w:val="single" w:sz="4" w:space="0" w:color="auto"/>
              <w:left w:val="single" w:sz="4" w:space="0" w:color="auto"/>
              <w:bottom w:val="single" w:sz="4" w:space="0" w:color="auto"/>
              <w:right w:val="single" w:sz="4" w:space="0" w:color="auto"/>
            </w:tcBorders>
          </w:tcPr>
          <w:p w14:paraId="6CFC4A6A" w14:textId="687AB2D5" w:rsidR="008F3EBF" w:rsidRPr="00175054" w:rsidRDefault="008F3EBF" w:rsidP="00AC1172">
            <w:pPr>
              <w:pStyle w:val="LFTTabletext"/>
              <w:spacing w:after="0"/>
              <w:jc w:val="center"/>
              <w:rPr>
                <w:szCs w:val="18"/>
              </w:rPr>
            </w:pPr>
            <w:r>
              <w:rPr>
                <w:szCs w:val="18"/>
              </w:rPr>
              <w:t>Landscaping</w:t>
            </w:r>
          </w:p>
        </w:tc>
        <w:tc>
          <w:tcPr>
            <w:tcW w:w="6740" w:type="dxa"/>
            <w:tcBorders>
              <w:top w:val="single" w:sz="4" w:space="0" w:color="auto"/>
              <w:left w:val="single" w:sz="4" w:space="0" w:color="auto"/>
              <w:bottom w:val="single" w:sz="4" w:space="0" w:color="auto"/>
              <w:right w:val="single" w:sz="4" w:space="0" w:color="auto"/>
            </w:tcBorders>
          </w:tcPr>
          <w:p w14:paraId="25BFC071" w14:textId="77777777" w:rsidR="008F3EBF" w:rsidRPr="00175054" w:rsidRDefault="008F3EBF" w:rsidP="00AC1172">
            <w:pPr>
              <w:pStyle w:val="LFTTabletext"/>
              <w:spacing w:after="0"/>
              <w:rPr>
                <w:szCs w:val="18"/>
              </w:rPr>
            </w:pPr>
            <w:r>
              <w:rPr>
                <w:szCs w:val="18"/>
              </w:rPr>
              <w:t>Infiltration is okay as long as there is no run-on or co-mingling from higher pollutant loading areas and appropriate pre-treatment is provided for the specified practice. Chemical management is needed to limit the amount of fertilizer and pesticides added to the turf.</w:t>
            </w:r>
          </w:p>
        </w:tc>
      </w:tr>
      <w:tr w:rsidR="008F3EBF" w:rsidRPr="00175054" w14:paraId="2891CDA9" w14:textId="77777777" w:rsidTr="00AC1172">
        <w:trPr>
          <w:trHeight w:val="503"/>
        </w:trPr>
        <w:tc>
          <w:tcPr>
            <w:tcW w:w="1468" w:type="dxa"/>
            <w:tcBorders>
              <w:top w:val="single" w:sz="4" w:space="0" w:color="auto"/>
              <w:left w:val="single" w:sz="4" w:space="0" w:color="auto"/>
              <w:bottom w:val="single" w:sz="4" w:space="0" w:color="auto"/>
              <w:right w:val="single" w:sz="4" w:space="0" w:color="auto"/>
            </w:tcBorders>
          </w:tcPr>
          <w:p w14:paraId="51C289BF" w14:textId="77777777" w:rsidR="008F3EBF" w:rsidRPr="00175054" w:rsidRDefault="008F3EBF" w:rsidP="00AC1172">
            <w:pPr>
              <w:pStyle w:val="LFTTabletext"/>
              <w:spacing w:after="0"/>
              <w:jc w:val="center"/>
              <w:rPr>
                <w:szCs w:val="18"/>
              </w:rPr>
            </w:pPr>
            <w:r>
              <w:rPr>
                <w:szCs w:val="18"/>
              </w:rPr>
              <w:t>Downspouts</w:t>
            </w:r>
          </w:p>
        </w:tc>
        <w:tc>
          <w:tcPr>
            <w:tcW w:w="6740" w:type="dxa"/>
            <w:tcBorders>
              <w:top w:val="single" w:sz="4" w:space="0" w:color="auto"/>
              <w:left w:val="single" w:sz="4" w:space="0" w:color="auto"/>
              <w:bottom w:val="single" w:sz="4" w:space="0" w:color="auto"/>
              <w:right w:val="single" w:sz="4" w:space="0" w:color="auto"/>
            </w:tcBorders>
          </w:tcPr>
          <w:p w14:paraId="2F2B3B61" w14:textId="77777777" w:rsidR="008F3EBF" w:rsidRPr="00552932" w:rsidRDefault="008F3EBF" w:rsidP="00AC1172">
            <w:pPr>
              <w:shd w:val="clear" w:color="auto" w:fill="FFFFFF"/>
              <w:spacing w:line="216" w:lineRule="auto"/>
              <w:rPr>
                <w:rFonts w:asciiTheme="majorHAnsi" w:hAnsiTheme="majorHAnsi"/>
                <w:sz w:val="18"/>
                <w:szCs w:val="18"/>
              </w:rPr>
            </w:pPr>
            <w:r w:rsidRPr="00552932">
              <w:rPr>
                <w:rFonts w:asciiTheme="majorHAnsi" w:hAnsiTheme="majorHAnsi"/>
                <w:sz w:val="18"/>
                <w:szCs w:val="18"/>
              </w:rPr>
              <w:t>Infiltration is ok</w:t>
            </w:r>
            <w:r>
              <w:rPr>
                <w:rFonts w:asciiTheme="majorHAnsi" w:hAnsiTheme="majorHAnsi"/>
                <w:sz w:val="18"/>
                <w:szCs w:val="18"/>
              </w:rPr>
              <w:t xml:space="preserve"> as long as there is no run-on or co-mingling from higher pollutant loading areas, there is no polluting exhaust from a vent or stack deposits on the rooftop, and there is appropriate pre-treatment provided for the specific practice. </w:t>
            </w:r>
          </w:p>
        </w:tc>
      </w:tr>
      <w:tr w:rsidR="008F3EBF" w:rsidRPr="00175054" w14:paraId="2C5F6953" w14:textId="77777777" w:rsidTr="00AC1172">
        <w:trPr>
          <w:trHeight w:val="503"/>
        </w:trPr>
        <w:tc>
          <w:tcPr>
            <w:tcW w:w="1468" w:type="dxa"/>
            <w:tcBorders>
              <w:top w:val="single" w:sz="4" w:space="0" w:color="auto"/>
              <w:left w:val="single" w:sz="4" w:space="0" w:color="auto"/>
              <w:bottom w:val="single" w:sz="4" w:space="0" w:color="auto"/>
              <w:right w:val="single" w:sz="4" w:space="0" w:color="auto"/>
            </w:tcBorders>
          </w:tcPr>
          <w:p w14:paraId="7C8B8290" w14:textId="794CEF94" w:rsidR="008F3EBF" w:rsidRPr="00175054" w:rsidRDefault="008F3EBF" w:rsidP="00AC1172">
            <w:pPr>
              <w:pStyle w:val="LFTTabletext"/>
              <w:spacing w:after="0"/>
              <w:jc w:val="center"/>
              <w:rPr>
                <w:rFonts w:ascii="Calibri" w:hAnsi="Calibri"/>
                <w:szCs w:val="18"/>
              </w:rPr>
            </w:pPr>
            <w:r>
              <w:rPr>
                <w:rFonts w:ascii="Calibri" w:hAnsi="Calibri"/>
                <w:szCs w:val="18"/>
              </w:rPr>
              <w:t>Vehicle Operations</w:t>
            </w:r>
          </w:p>
        </w:tc>
        <w:tc>
          <w:tcPr>
            <w:tcW w:w="6740" w:type="dxa"/>
            <w:tcBorders>
              <w:top w:val="single" w:sz="4" w:space="0" w:color="auto"/>
              <w:left w:val="single" w:sz="4" w:space="0" w:color="auto"/>
              <w:bottom w:val="single" w:sz="4" w:space="0" w:color="auto"/>
              <w:right w:val="single" w:sz="4" w:space="0" w:color="auto"/>
            </w:tcBorders>
          </w:tcPr>
          <w:p w14:paraId="0F1CDB08" w14:textId="77777777" w:rsidR="008F3EBF" w:rsidRDefault="008F3EBF" w:rsidP="00AC1172">
            <w:pPr>
              <w:shd w:val="clear" w:color="auto" w:fill="FFFFFF"/>
              <w:spacing w:line="216" w:lineRule="auto"/>
              <w:rPr>
                <w:rFonts w:ascii="Calibri" w:hAnsi="Calibri"/>
                <w:bCs/>
                <w:sz w:val="18"/>
                <w:szCs w:val="18"/>
              </w:rPr>
            </w:pPr>
            <w:r>
              <w:rPr>
                <w:rFonts w:ascii="Calibri" w:hAnsi="Calibri"/>
                <w:bCs/>
                <w:sz w:val="18"/>
                <w:szCs w:val="18"/>
              </w:rPr>
              <w:t>Infiltration is ok with the following provisions:</w:t>
            </w:r>
          </w:p>
          <w:p w14:paraId="610B7A2D" w14:textId="77777777" w:rsidR="008F3EBF" w:rsidRPr="00B54AE3" w:rsidRDefault="008F3EBF" w:rsidP="00B54AE3">
            <w:pPr>
              <w:pStyle w:val="LFTBullet1"/>
              <w:ind w:left="219" w:hanging="177"/>
              <w:rPr>
                <w:rFonts w:ascii="Calibri" w:hAnsi="Calibri"/>
                <w:sz w:val="18"/>
                <w:szCs w:val="18"/>
              </w:rPr>
            </w:pPr>
            <w:r w:rsidRPr="00B54AE3">
              <w:rPr>
                <w:rFonts w:ascii="Calibri" w:hAnsi="Calibri"/>
                <w:sz w:val="18"/>
                <w:szCs w:val="18"/>
              </w:rPr>
              <w:t>No run-on from higher pollutant loading areas</w:t>
            </w:r>
          </w:p>
          <w:p w14:paraId="105AFA00" w14:textId="77777777" w:rsidR="008F3EBF" w:rsidRPr="00B54AE3" w:rsidRDefault="008F3EBF" w:rsidP="00B54AE3">
            <w:pPr>
              <w:pStyle w:val="LFTBullet1"/>
              <w:ind w:left="219" w:hanging="177"/>
              <w:rPr>
                <w:rFonts w:ascii="Calibri" w:hAnsi="Calibri"/>
                <w:sz w:val="18"/>
                <w:szCs w:val="18"/>
              </w:rPr>
            </w:pPr>
            <w:r w:rsidRPr="00B54AE3">
              <w:rPr>
                <w:rFonts w:ascii="Calibri" w:hAnsi="Calibri"/>
                <w:sz w:val="18"/>
                <w:szCs w:val="18"/>
              </w:rPr>
              <w:t>Limited salt application or sue of alternative deicers</w:t>
            </w:r>
          </w:p>
          <w:p w14:paraId="0D3589D3" w14:textId="77777777" w:rsidR="008F3EBF" w:rsidRPr="00B54AE3" w:rsidRDefault="008F3EBF" w:rsidP="00B54AE3">
            <w:pPr>
              <w:pStyle w:val="LFTBullet1"/>
              <w:ind w:left="219" w:hanging="177"/>
              <w:rPr>
                <w:rFonts w:ascii="Calibri" w:hAnsi="Calibri"/>
                <w:sz w:val="18"/>
                <w:szCs w:val="18"/>
              </w:rPr>
            </w:pPr>
            <w:r w:rsidRPr="00B54AE3">
              <w:rPr>
                <w:rFonts w:ascii="Calibri" w:hAnsi="Calibri"/>
                <w:sz w:val="18"/>
                <w:szCs w:val="18"/>
              </w:rPr>
              <w:t>Enhanced pre-treatment requirements such as (suggested unless better local information is available) minimum vegetative filter lengths of 20 feet, maximum velocity in conveyance channels to infiltration practice of one foot per second, plunge pools and sediment basins/chambers with volumes of at least 25”% of the water quality volume</w:t>
            </w:r>
          </w:p>
          <w:p w14:paraId="59F5237D" w14:textId="77777777" w:rsidR="008F3EBF" w:rsidRPr="00552932" w:rsidRDefault="008F3EBF" w:rsidP="00B54AE3">
            <w:pPr>
              <w:pStyle w:val="LFTBullet1"/>
              <w:ind w:left="219" w:hanging="177"/>
            </w:pPr>
            <w:r w:rsidRPr="00B54AE3">
              <w:rPr>
                <w:rFonts w:ascii="Calibri" w:hAnsi="Calibri"/>
                <w:sz w:val="18"/>
                <w:szCs w:val="18"/>
              </w:rPr>
              <w:t>Only daily “commuter” parking areas and no long-term car/truck storage sites.</w:t>
            </w:r>
          </w:p>
        </w:tc>
      </w:tr>
      <w:tr w:rsidR="008F3EBF" w:rsidRPr="00175054" w14:paraId="00054787" w14:textId="77777777" w:rsidTr="00AC1172">
        <w:trPr>
          <w:trHeight w:val="503"/>
        </w:trPr>
        <w:tc>
          <w:tcPr>
            <w:tcW w:w="1468" w:type="dxa"/>
            <w:tcBorders>
              <w:top w:val="single" w:sz="4" w:space="0" w:color="auto"/>
              <w:left w:val="single" w:sz="4" w:space="0" w:color="auto"/>
              <w:bottom w:val="single" w:sz="4" w:space="0" w:color="auto"/>
              <w:right w:val="single" w:sz="4" w:space="0" w:color="auto"/>
            </w:tcBorders>
          </w:tcPr>
          <w:p w14:paraId="635852BE" w14:textId="44B016A6" w:rsidR="008F3EBF" w:rsidRPr="00175054" w:rsidRDefault="008F3EBF" w:rsidP="008F3EBF">
            <w:pPr>
              <w:pStyle w:val="LFTTabletext"/>
              <w:spacing w:after="0"/>
              <w:jc w:val="center"/>
              <w:rPr>
                <w:rFonts w:ascii="Calibri" w:hAnsi="Calibri"/>
                <w:szCs w:val="18"/>
              </w:rPr>
            </w:pPr>
            <w:r>
              <w:rPr>
                <w:rFonts w:ascii="Calibri" w:hAnsi="Calibri"/>
                <w:szCs w:val="18"/>
              </w:rPr>
              <w:t>Waste Management and Outdoor Material Storage*</w:t>
            </w:r>
          </w:p>
        </w:tc>
        <w:tc>
          <w:tcPr>
            <w:tcW w:w="6740" w:type="dxa"/>
            <w:tcBorders>
              <w:top w:val="single" w:sz="4" w:space="0" w:color="auto"/>
              <w:left w:val="single" w:sz="4" w:space="0" w:color="auto"/>
              <w:bottom w:val="single" w:sz="4" w:space="0" w:color="auto"/>
              <w:right w:val="single" w:sz="4" w:space="0" w:color="auto"/>
            </w:tcBorders>
          </w:tcPr>
          <w:p w14:paraId="4E6B28B3" w14:textId="77777777" w:rsidR="008F3EBF" w:rsidRPr="00175054" w:rsidRDefault="008F3EBF" w:rsidP="00AC1172">
            <w:pPr>
              <w:shd w:val="clear" w:color="auto" w:fill="FFFFFF"/>
              <w:spacing w:line="216" w:lineRule="auto"/>
              <w:rPr>
                <w:rFonts w:ascii="Calibri" w:hAnsi="Calibri"/>
                <w:bCs/>
                <w:sz w:val="18"/>
                <w:szCs w:val="18"/>
              </w:rPr>
            </w:pPr>
            <w:r>
              <w:rPr>
                <w:rFonts w:ascii="Calibri" w:hAnsi="Calibri"/>
                <w:bCs/>
                <w:sz w:val="18"/>
                <w:szCs w:val="18"/>
              </w:rPr>
              <w:t>Infiltration is not typically recommended but it is possible where spill prevention and containment measures are in place, such as catch basins inserts and oil and grit separators. Infiltration is also possible if redundant treatment is provided such as filtering prior to infiltration. Infiltration should be prohibited in areas of exposed salt and mixed sand/salt storage and processing.</w:t>
            </w:r>
          </w:p>
        </w:tc>
      </w:tr>
      <w:tr w:rsidR="008F3EBF" w:rsidRPr="00175054" w14:paraId="0C1F0CE6" w14:textId="77777777" w:rsidTr="00AC1172">
        <w:trPr>
          <w:trHeight w:val="503"/>
        </w:trPr>
        <w:tc>
          <w:tcPr>
            <w:tcW w:w="1468" w:type="dxa"/>
            <w:tcBorders>
              <w:top w:val="single" w:sz="4" w:space="0" w:color="auto"/>
              <w:left w:val="single" w:sz="4" w:space="0" w:color="auto"/>
              <w:bottom w:val="single" w:sz="4" w:space="0" w:color="auto"/>
              <w:right w:val="single" w:sz="4" w:space="0" w:color="auto"/>
            </w:tcBorders>
          </w:tcPr>
          <w:p w14:paraId="6595BA1E" w14:textId="77777777" w:rsidR="008F3EBF" w:rsidRDefault="008F3EBF" w:rsidP="00AC1172">
            <w:pPr>
              <w:pStyle w:val="LFTTabletext"/>
              <w:spacing w:after="0"/>
              <w:jc w:val="center"/>
              <w:rPr>
                <w:rFonts w:ascii="Calibri" w:hAnsi="Calibri"/>
                <w:szCs w:val="18"/>
              </w:rPr>
            </w:pPr>
            <w:r>
              <w:rPr>
                <w:rFonts w:ascii="Calibri" w:hAnsi="Calibri"/>
                <w:szCs w:val="18"/>
              </w:rPr>
              <w:t>Loading docks*</w:t>
            </w:r>
          </w:p>
          <w:p w14:paraId="3C11F3F5" w14:textId="77777777" w:rsidR="008F3EBF" w:rsidRPr="00175054" w:rsidRDefault="008F3EBF" w:rsidP="00AC1172">
            <w:pPr>
              <w:pStyle w:val="LFTTabletext"/>
              <w:spacing w:after="0"/>
              <w:jc w:val="center"/>
              <w:rPr>
                <w:rFonts w:ascii="Calibri" w:hAnsi="Calibri"/>
                <w:szCs w:val="18"/>
              </w:rPr>
            </w:pPr>
          </w:p>
        </w:tc>
        <w:tc>
          <w:tcPr>
            <w:tcW w:w="6740" w:type="dxa"/>
            <w:tcBorders>
              <w:top w:val="single" w:sz="4" w:space="0" w:color="auto"/>
              <w:left w:val="single" w:sz="4" w:space="0" w:color="auto"/>
              <w:bottom w:val="single" w:sz="4" w:space="0" w:color="auto"/>
              <w:right w:val="single" w:sz="4" w:space="0" w:color="auto"/>
            </w:tcBorders>
          </w:tcPr>
          <w:p w14:paraId="17C8C44A" w14:textId="77777777" w:rsidR="008F3EBF" w:rsidRPr="00175054" w:rsidRDefault="008F3EBF" w:rsidP="00AC1172">
            <w:pPr>
              <w:shd w:val="clear" w:color="auto" w:fill="FFFFFF"/>
              <w:spacing w:line="216" w:lineRule="auto"/>
              <w:rPr>
                <w:rFonts w:ascii="Calibri" w:hAnsi="Calibri"/>
                <w:bCs/>
                <w:sz w:val="18"/>
                <w:szCs w:val="18"/>
              </w:rPr>
            </w:pPr>
            <w:r>
              <w:rPr>
                <w:rFonts w:ascii="Calibri" w:hAnsi="Calibri"/>
                <w:bCs/>
                <w:sz w:val="18"/>
                <w:szCs w:val="18"/>
              </w:rPr>
              <w:t>Infiltration is not typically recommended but it is possible where spill prevention and containment measures are in place, such as catch basins inserts and oil and grit separators. Infiltration is also possible if redundant treatment is provided such as filtering prior to infiltration.</w:t>
            </w:r>
          </w:p>
        </w:tc>
      </w:tr>
      <w:tr w:rsidR="008F3EBF" w:rsidRPr="00175054" w14:paraId="3F28DABC" w14:textId="77777777" w:rsidTr="00AC1172">
        <w:trPr>
          <w:trHeight w:val="260"/>
        </w:trPr>
        <w:tc>
          <w:tcPr>
            <w:tcW w:w="1468" w:type="dxa"/>
            <w:tcBorders>
              <w:top w:val="single" w:sz="4" w:space="0" w:color="auto"/>
              <w:left w:val="single" w:sz="4" w:space="0" w:color="auto"/>
              <w:bottom w:val="single" w:sz="4" w:space="0" w:color="auto"/>
              <w:right w:val="single" w:sz="4" w:space="0" w:color="auto"/>
            </w:tcBorders>
          </w:tcPr>
          <w:p w14:paraId="1E3E8802" w14:textId="77777777" w:rsidR="008F3EBF" w:rsidRPr="00C63D86" w:rsidRDefault="008F3EBF" w:rsidP="00AC1172">
            <w:pPr>
              <w:pStyle w:val="LFTTabletext"/>
              <w:spacing w:after="0"/>
              <w:jc w:val="center"/>
              <w:rPr>
                <w:rFonts w:ascii="Calibri" w:hAnsi="Calibri"/>
                <w:szCs w:val="18"/>
              </w:rPr>
            </w:pPr>
            <w:r w:rsidRPr="00C63D86">
              <w:rPr>
                <w:rFonts w:ascii="Calibri" w:hAnsi="Calibri"/>
                <w:szCs w:val="18"/>
              </w:rPr>
              <w:t>Vehicle fueling*</w:t>
            </w:r>
          </w:p>
        </w:tc>
        <w:tc>
          <w:tcPr>
            <w:tcW w:w="6740" w:type="dxa"/>
            <w:tcBorders>
              <w:top w:val="single" w:sz="4" w:space="0" w:color="auto"/>
              <w:left w:val="single" w:sz="4" w:space="0" w:color="auto"/>
              <w:bottom w:val="single" w:sz="4" w:space="0" w:color="auto"/>
              <w:right w:val="single" w:sz="4" w:space="0" w:color="auto"/>
            </w:tcBorders>
          </w:tcPr>
          <w:p w14:paraId="5FF46DE5" w14:textId="77777777" w:rsidR="008F3EBF" w:rsidRPr="00C63D86" w:rsidRDefault="008F3EBF" w:rsidP="00AC1172">
            <w:pPr>
              <w:shd w:val="clear" w:color="auto" w:fill="FFFFFF"/>
              <w:spacing w:line="216" w:lineRule="auto"/>
              <w:rPr>
                <w:rFonts w:ascii="Calibri" w:hAnsi="Calibri"/>
                <w:bCs/>
                <w:sz w:val="18"/>
                <w:szCs w:val="18"/>
              </w:rPr>
            </w:pPr>
            <w:r w:rsidRPr="00C63D86">
              <w:rPr>
                <w:rFonts w:ascii="Calibri" w:hAnsi="Calibri"/>
                <w:bCs/>
                <w:sz w:val="18"/>
                <w:szCs w:val="18"/>
              </w:rPr>
              <w:t>Infiltration is not allowed by the MPCA</w:t>
            </w:r>
            <w:r>
              <w:rPr>
                <w:rFonts w:ascii="Calibri" w:hAnsi="Calibri"/>
                <w:bCs/>
                <w:sz w:val="18"/>
                <w:szCs w:val="18"/>
              </w:rPr>
              <w:t xml:space="preserve"> for new construction under the CGP.</w:t>
            </w:r>
          </w:p>
        </w:tc>
      </w:tr>
      <w:tr w:rsidR="008F3EBF" w:rsidRPr="00175054" w14:paraId="450A3D32" w14:textId="77777777" w:rsidTr="00AC1172">
        <w:trPr>
          <w:trHeight w:val="350"/>
        </w:trPr>
        <w:tc>
          <w:tcPr>
            <w:tcW w:w="1468" w:type="dxa"/>
            <w:tcBorders>
              <w:top w:val="single" w:sz="4" w:space="0" w:color="auto"/>
              <w:left w:val="single" w:sz="4" w:space="0" w:color="auto"/>
              <w:bottom w:val="single" w:sz="4" w:space="0" w:color="auto"/>
              <w:right w:val="single" w:sz="4" w:space="0" w:color="auto"/>
            </w:tcBorders>
          </w:tcPr>
          <w:p w14:paraId="1D5C3165" w14:textId="77777777" w:rsidR="008F3EBF" w:rsidRPr="00175054" w:rsidRDefault="008F3EBF" w:rsidP="00AC1172">
            <w:pPr>
              <w:pStyle w:val="LFTTabletext"/>
              <w:spacing w:after="0"/>
              <w:jc w:val="center"/>
              <w:rPr>
                <w:szCs w:val="18"/>
              </w:rPr>
            </w:pPr>
            <w:r>
              <w:rPr>
                <w:szCs w:val="18"/>
              </w:rPr>
              <w:lastRenderedPageBreak/>
              <w:t>Highways*</w:t>
            </w:r>
          </w:p>
        </w:tc>
        <w:tc>
          <w:tcPr>
            <w:tcW w:w="6740" w:type="dxa"/>
            <w:tcBorders>
              <w:top w:val="single" w:sz="4" w:space="0" w:color="auto"/>
              <w:left w:val="single" w:sz="4" w:space="0" w:color="auto"/>
              <w:bottom w:val="single" w:sz="4" w:space="0" w:color="auto"/>
              <w:right w:val="single" w:sz="4" w:space="0" w:color="auto"/>
            </w:tcBorders>
          </w:tcPr>
          <w:p w14:paraId="74DFB406" w14:textId="77777777" w:rsidR="008F3EBF" w:rsidRPr="00175054" w:rsidRDefault="008F3EBF" w:rsidP="00AC1172">
            <w:pPr>
              <w:spacing w:line="216" w:lineRule="auto"/>
              <w:rPr>
                <w:rFonts w:ascii="Calibri" w:hAnsi="Calibri"/>
                <w:bCs/>
                <w:sz w:val="18"/>
                <w:szCs w:val="18"/>
              </w:rPr>
            </w:pPr>
            <w:r>
              <w:rPr>
                <w:rFonts w:ascii="Calibri" w:hAnsi="Calibri"/>
                <w:bCs/>
                <w:sz w:val="18"/>
                <w:szCs w:val="18"/>
              </w:rPr>
              <w:t>Infiltration is possible where enhanced pre-treatment is provided as described under parking lots. Where highways are within source water protection areas and other sensitive watersheds, additional measures should be in place such as spill prevention and containment measures (e.g., non-clogging catch basin inserts and oil and grit separators.</w:t>
            </w:r>
          </w:p>
        </w:tc>
      </w:tr>
      <w:tr w:rsidR="008F3EBF" w:rsidRPr="00175054" w14:paraId="3C8B60EF" w14:textId="77777777" w:rsidTr="00AC1172">
        <w:trPr>
          <w:trHeight w:val="350"/>
        </w:trPr>
        <w:tc>
          <w:tcPr>
            <w:tcW w:w="8208" w:type="dxa"/>
            <w:gridSpan w:val="2"/>
            <w:tcBorders>
              <w:top w:val="single" w:sz="4" w:space="0" w:color="auto"/>
              <w:left w:val="single" w:sz="4" w:space="0" w:color="auto"/>
              <w:bottom w:val="single" w:sz="4" w:space="0" w:color="auto"/>
              <w:right w:val="single" w:sz="4" w:space="0" w:color="auto"/>
            </w:tcBorders>
          </w:tcPr>
          <w:p w14:paraId="34DA7A1C" w14:textId="77777777" w:rsidR="008F3EBF" w:rsidRPr="00175054" w:rsidRDefault="008F3EBF" w:rsidP="00AC1172">
            <w:pPr>
              <w:shd w:val="clear" w:color="auto" w:fill="FFFFFF"/>
              <w:spacing w:line="216" w:lineRule="auto"/>
              <w:rPr>
                <w:rFonts w:ascii="Calibri" w:hAnsi="Calibri"/>
                <w:bCs/>
                <w:sz w:val="18"/>
                <w:szCs w:val="18"/>
              </w:rPr>
            </w:pPr>
            <w:r>
              <w:rPr>
                <w:rFonts w:ascii="Calibri" w:hAnsi="Calibri"/>
                <w:bCs/>
                <w:sz w:val="18"/>
                <w:szCs w:val="18"/>
              </w:rPr>
              <w:t>*indicates operational area with likelihood of having higher pollutant loadings</w:t>
            </w:r>
          </w:p>
        </w:tc>
      </w:tr>
    </w:tbl>
    <w:p w14:paraId="7B26D21A" w14:textId="77777777" w:rsidR="008F3EBF" w:rsidRPr="002D216D" w:rsidRDefault="008F3EBF" w:rsidP="008F3EBF">
      <w:pPr>
        <w:pStyle w:val="LFTBullet1"/>
        <w:numPr>
          <w:ilvl w:val="0"/>
          <w:numId w:val="0"/>
        </w:numPr>
        <w:ind w:left="576" w:hanging="360"/>
      </w:pPr>
    </w:p>
    <w:p w14:paraId="7D1E49CC" w14:textId="77777777" w:rsidR="007A7190" w:rsidRDefault="007A7190" w:rsidP="00E06FCC">
      <w:pPr>
        <w:pStyle w:val="LFTMemoTEXT"/>
        <w:spacing w:after="200" w:line="264" w:lineRule="auto"/>
      </w:pPr>
    </w:p>
    <w:sectPr w:rsidR="007A7190" w:rsidSect="004A4AC6">
      <w:headerReference w:type="even" r:id="rId110"/>
      <w:headerReference w:type="default" r:id="rId111"/>
      <w:footerReference w:type="even" r:id="rId112"/>
      <w:footerReference w:type="default" r:id="rId113"/>
      <w:headerReference w:type="first" r:id="rId114"/>
      <w:footerReference w:type="first" r:id="rId115"/>
      <w:pgSz w:w="12240" w:h="15840" w:code="1"/>
      <w:pgMar w:top="1440" w:right="1440" w:bottom="1440" w:left="1627" w:header="720" w:footer="720" w:gutter="0"/>
      <w:pgNumType w:start="1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D78EAF" w14:textId="77777777" w:rsidR="00F23DB4" w:rsidRDefault="00F23DB4" w:rsidP="00361D9F">
      <w:r>
        <w:separator/>
      </w:r>
    </w:p>
  </w:endnote>
  <w:endnote w:type="continuationSeparator" w:id="0">
    <w:p w14:paraId="677CF5F2" w14:textId="77777777" w:rsidR="00F23DB4" w:rsidRDefault="00F23DB4" w:rsidP="00361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ristina">
    <w:panose1 w:val="030604020404060802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804EF" w14:textId="2A3AF483" w:rsidR="00CB4658" w:rsidRDefault="00CB4658" w:rsidP="00E716DB">
    <w:pPr>
      <w:pStyle w:val="LFTFooterText"/>
    </w:pPr>
    <w:r>
      <w:rPr>
        <w:noProof/>
      </w:rPr>
      <w:drawing>
        <wp:anchor distT="0" distB="0" distL="114300" distR="114300" simplePos="0" relativeHeight="251728896" behindDoc="0" locked="0" layoutInCell="1" allowOverlap="1" wp14:anchorId="60FABC78" wp14:editId="18DDA8F2">
          <wp:simplePos x="0" y="0"/>
          <wp:positionH relativeFrom="margin">
            <wp:align>right</wp:align>
          </wp:positionH>
          <wp:positionV relativeFrom="paragraph">
            <wp:posOffset>57785</wp:posOffset>
          </wp:positionV>
          <wp:extent cx="449510" cy="198407"/>
          <wp:effectExtent l="0" t="0" r="8255" b="0"/>
          <wp:wrapNone/>
          <wp:docPr id="18" name="Picture 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a:stretch>
                    <a:fillRect/>
                  </a:stretch>
                </pic:blipFill>
                <pic:spPr>
                  <a:xfrm>
                    <a:off x="0" y="0"/>
                    <a:ext cx="449510" cy="198407"/>
                  </a:xfrm>
                  <a:prstGeom prst="rect">
                    <a:avLst/>
                  </a:prstGeom>
                </pic:spPr>
              </pic:pic>
            </a:graphicData>
          </a:graphic>
        </wp:anchor>
      </w:drawing>
    </w:r>
  </w:p>
  <w:p w14:paraId="5C62AB74" w14:textId="68F56BF1" w:rsidR="00CB4658" w:rsidRDefault="00CB4658" w:rsidP="00E716DB">
    <w:pPr>
      <w:pStyle w:val="LFTFooterText"/>
      <w:rPr>
        <w:rFonts w:ascii="Arial" w:hAnsi="Arial"/>
        <w:sz w:val="26"/>
      </w:rPr>
    </w:pPr>
    <w:r>
      <w:t>2</w:t>
    </w:r>
    <w:r w:rsidRPr="00F03C9D">
      <w:t>-</w:t>
    </w:r>
    <w:r>
      <w:fldChar w:fldCharType="begin"/>
    </w:r>
    <w:r>
      <w:instrText xml:space="preserve"> PAGE </w:instrText>
    </w:r>
    <w:r>
      <w:fldChar w:fldCharType="separate"/>
    </w:r>
    <w:r w:rsidR="003E6AD9">
      <w:rPr>
        <w:noProof/>
      </w:rPr>
      <w:t>2</w:t>
    </w:r>
    <w:r>
      <w:rPr>
        <w:noProof/>
      </w:rPr>
      <w:fldChar w:fldCharType="end"/>
    </w:r>
  </w:p>
  <w:p w14:paraId="5058726E" w14:textId="2C05F5C0" w:rsidR="00CB4658" w:rsidRDefault="00CB4658" w:rsidP="00F57883">
    <w:pPr>
      <w:pStyle w:val="LFTDOCCODE"/>
      <w:tabs>
        <w:tab w:val="clear" w:pos="8640"/>
      </w:tabs>
      <w:ind w:left="1915"/>
      <w:jc w:val="right"/>
    </w:pPr>
    <w:r>
      <w:t>Constraints on Stormwater Infiltration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BC2BA" w14:textId="77777777" w:rsidR="00CB4658" w:rsidRPr="00647BF2" w:rsidRDefault="00CB4658" w:rsidP="007A7190">
    <w:pPr>
      <w:pStyle w:val="LFTPageNumber0"/>
    </w:pPr>
    <w:r w:rsidRPr="00F57883">
      <w:rPr>
        <w:noProof/>
      </w:rPr>
      <w:drawing>
        <wp:anchor distT="0" distB="0" distL="114300" distR="114300" simplePos="0" relativeHeight="251737088" behindDoc="0" locked="0" layoutInCell="1" allowOverlap="1" wp14:anchorId="0F75C70B" wp14:editId="3461999C">
          <wp:simplePos x="0" y="0"/>
          <wp:positionH relativeFrom="column">
            <wp:posOffset>-13431</wp:posOffset>
          </wp:positionH>
          <wp:positionV relativeFrom="paragraph">
            <wp:posOffset>-42769</wp:posOffset>
          </wp:positionV>
          <wp:extent cx="446777" cy="197200"/>
          <wp:effectExtent l="19050" t="0" r="0" b="0"/>
          <wp:wrapNone/>
          <wp:docPr id="21" name="Picture 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a:stretch>
                    <a:fillRect/>
                  </a:stretch>
                </pic:blipFill>
                <pic:spPr>
                  <a:xfrm>
                    <a:off x="0" y="0"/>
                    <a:ext cx="446777" cy="197200"/>
                  </a:xfrm>
                  <a:prstGeom prst="rect">
                    <a:avLst/>
                  </a:prstGeom>
                </pic:spPr>
              </pic:pic>
            </a:graphicData>
          </a:graphic>
        </wp:anchor>
      </w:drawing>
    </w:r>
    <w:r>
      <w:tab/>
    </w:r>
    <w:r>
      <w:tab/>
    </w:r>
    <w:sdt>
      <w:sdtPr>
        <w:id w:val="1554647"/>
        <w:docPartObj>
          <w:docPartGallery w:val="Page Numbers (Bottom of Page)"/>
          <w:docPartUnique/>
        </w:docPartObj>
      </w:sdtPr>
      <w:sdtEndPr/>
      <w:sdtContent>
        <w:r>
          <w:t>2-</w:t>
        </w:r>
        <w:r>
          <w:fldChar w:fldCharType="begin"/>
        </w:r>
        <w:r>
          <w:instrText xml:space="preserve"> PAGE   \* MERGEFORMAT </w:instrText>
        </w:r>
        <w:r>
          <w:fldChar w:fldCharType="separate"/>
        </w:r>
        <w:r w:rsidR="003E6AD9">
          <w:rPr>
            <w:noProof/>
          </w:rPr>
          <w:t>3</w:t>
        </w:r>
        <w:r>
          <w:rPr>
            <w:noProof/>
          </w:rPr>
          <w:fldChar w:fldCharType="end"/>
        </w:r>
      </w:sdtContent>
    </w:sdt>
  </w:p>
  <w:p w14:paraId="382A2A1E" w14:textId="7B4B4E35" w:rsidR="00CB4658" w:rsidRPr="007A7190" w:rsidRDefault="00CB4658" w:rsidP="007A7190">
    <w:pPr>
      <w:pStyle w:val="LFTDOCCODE"/>
      <w:tabs>
        <w:tab w:val="clear" w:pos="8640"/>
        <w:tab w:val="right" w:pos="8370"/>
      </w:tabs>
      <w:ind w:left="1915" w:hanging="1915"/>
    </w:pPr>
    <w:r>
      <w:t>Constraints on Stormwater Infiltration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F34AA" w14:textId="77777777" w:rsidR="00CB4658" w:rsidRPr="00F03C9D" w:rsidRDefault="00CB4658" w:rsidP="00E716DB">
    <w:pPr>
      <w:pStyle w:val="LFTFooterText"/>
    </w:pPr>
    <w:r w:rsidRPr="00F57883">
      <w:rPr>
        <w:rFonts w:ascii="Book Antiqua" w:hAnsi="Book Antiqua"/>
        <w:noProof/>
      </w:rPr>
      <w:drawing>
        <wp:anchor distT="0" distB="0" distL="114300" distR="114300" simplePos="0" relativeHeight="251726848" behindDoc="0" locked="0" layoutInCell="1" allowOverlap="1" wp14:anchorId="11DC2F99" wp14:editId="471AA8AB">
          <wp:simplePos x="0" y="0"/>
          <wp:positionH relativeFrom="column">
            <wp:posOffset>-13417</wp:posOffset>
          </wp:positionH>
          <wp:positionV relativeFrom="paragraph">
            <wp:posOffset>-34745</wp:posOffset>
          </wp:positionV>
          <wp:extent cx="449510" cy="198407"/>
          <wp:effectExtent l="19050" t="0" r="7690" b="0"/>
          <wp:wrapNone/>
          <wp:docPr id="22" name="Picture 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a:stretch>
                    <a:fillRect/>
                  </a:stretch>
                </pic:blipFill>
                <pic:spPr>
                  <a:xfrm>
                    <a:off x="0" y="0"/>
                    <a:ext cx="449510" cy="198407"/>
                  </a:xfrm>
                  <a:prstGeom prst="rect">
                    <a:avLst/>
                  </a:prstGeom>
                </pic:spPr>
              </pic:pic>
            </a:graphicData>
          </a:graphic>
        </wp:anchor>
      </w:drawing>
    </w:r>
    <w:r>
      <w:rPr>
        <w:rFonts w:ascii="Book Antiqua" w:hAnsi="Book Antiqua"/>
      </w:rPr>
      <w:tab/>
    </w:r>
    <w:r>
      <w:rPr>
        <w:rFonts w:ascii="Book Antiqua" w:hAnsi="Book Antiqua"/>
      </w:rPr>
      <w:tab/>
      <w:t>2</w:t>
    </w:r>
    <w:r w:rsidRPr="00F03C9D">
      <w:t>-</w:t>
    </w:r>
    <w:r>
      <w:fldChar w:fldCharType="begin"/>
    </w:r>
    <w:r>
      <w:instrText xml:space="preserve"> PAGE </w:instrText>
    </w:r>
    <w:r>
      <w:fldChar w:fldCharType="separate"/>
    </w:r>
    <w:r w:rsidR="003E6AD9">
      <w:rPr>
        <w:noProof/>
      </w:rPr>
      <w:t>1</w:t>
    </w:r>
    <w:r>
      <w:rPr>
        <w:noProof/>
      </w:rPr>
      <w:fldChar w:fldCharType="end"/>
    </w:r>
  </w:p>
  <w:p w14:paraId="630440D0" w14:textId="77777777" w:rsidR="00CB4658" w:rsidRDefault="00CB4658" w:rsidP="00F57883">
    <w:pPr>
      <w:pStyle w:val="LFTDOCCODE"/>
      <w:tabs>
        <w:tab w:val="clear" w:pos="8640"/>
        <w:tab w:val="right" w:pos="8370"/>
      </w:tabs>
      <w:ind w:left="1915" w:hanging="1915"/>
    </w:pPr>
    <w:r w:rsidRPr="00F03C9D">
      <w:t>Document Code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469CD" w14:textId="77777777" w:rsidR="00CB4658" w:rsidRPr="00F03C9D" w:rsidRDefault="00CB4658" w:rsidP="004A4AC6">
    <w:pPr>
      <w:pStyle w:val="LFTFooterText"/>
      <w:tabs>
        <w:tab w:val="clear" w:pos="9360"/>
        <w:tab w:val="right" w:pos="21510"/>
      </w:tabs>
    </w:pPr>
    <w:r w:rsidRPr="00F57883">
      <w:rPr>
        <w:rFonts w:ascii="Book Antiqua" w:hAnsi="Book Antiqua"/>
        <w:noProof/>
      </w:rPr>
      <w:drawing>
        <wp:anchor distT="0" distB="0" distL="114300" distR="114300" simplePos="0" relativeHeight="251742208" behindDoc="0" locked="0" layoutInCell="1" allowOverlap="1" wp14:anchorId="5D43001B" wp14:editId="6E67FB9A">
          <wp:simplePos x="0" y="0"/>
          <wp:positionH relativeFrom="column">
            <wp:posOffset>-13417</wp:posOffset>
          </wp:positionH>
          <wp:positionV relativeFrom="paragraph">
            <wp:posOffset>-34745</wp:posOffset>
          </wp:positionV>
          <wp:extent cx="449510" cy="198407"/>
          <wp:effectExtent l="19050" t="0" r="7690" b="0"/>
          <wp:wrapNone/>
          <wp:docPr id="7" name="Picture 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a:stretch>
                    <a:fillRect/>
                  </a:stretch>
                </pic:blipFill>
                <pic:spPr>
                  <a:xfrm>
                    <a:off x="0" y="0"/>
                    <a:ext cx="449510" cy="198407"/>
                  </a:xfrm>
                  <a:prstGeom prst="rect">
                    <a:avLst/>
                  </a:prstGeom>
                </pic:spPr>
              </pic:pic>
            </a:graphicData>
          </a:graphic>
        </wp:anchor>
      </w:drawing>
    </w:r>
    <w:r>
      <w:rPr>
        <w:rFonts w:ascii="Book Antiqua" w:hAnsi="Book Antiqua"/>
      </w:rPr>
      <w:tab/>
    </w:r>
    <w:r>
      <w:rPr>
        <w:rFonts w:ascii="Book Antiqua" w:hAnsi="Book Antiqua"/>
      </w:rPr>
      <w:tab/>
      <w:t>2</w:t>
    </w:r>
    <w:r w:rsidRPr="00F03C9D">
      <w:t>-</w:t>
    </w:r>
    <w:r>
      <w:fldChar w:fldCharType="begin"/>
    </w:r>
    <w:r>
      <w:instrText xml:space="preserve"> PAGE </w:instrText>
    </w:r>
    <w:r>
      <w:fldChar w:fldCharType="separate"/>
    </w:r>
    <w:r w:rsidR="003E6AD9">
      <w:rPr>
        <w:noProof/>
      </w:rPr>
      <w:t>10</w:t>
    </w:r>
    <w:r>
      <w:rPr>
        <w:noProof/>
      </w:rPr>
      <w:fldChar w:fldCharType="end"/>
    </w:r>
  </w:p>
  <w:p w14:paraId="027BAA5A" w14:textId="77777777" w:rsidR="00CB4658" w:rsidRDefault="00CB4658" w:rsidP="00F57883">
    <w:pPr>
      <w:pStyle w:val="LFTDOCCODE"/>
      <w:tabs>
        <w:tab w:val="clear" w:pos="8640"/>
        <w:tab w:val="right" w:pos="8370"/>
      </w:tabs>
      <w:ind w:left="1915" w:hanging="1915"/>
    </w:pPr>
    <w:r w:rsidRPr="00F03C9D">
      <w:t>Document Code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A94B7" w14:textId="77777777" w:rsidR="00CB4658" w:rsidRDefault="00CB4658" w:rsidP="00E716DB">
    <w:pPr>
      <w:pStyle w:val="LFTFooterText"/>
    </w:pPr>
  </w:p>
  <w:p w14:paraId="05C80BAC" w14:textId="77777777" w:rsidR="00CB4658" w:rsidRDefault="00CB4658" w:rsidP="00E716DB">
    <w:pPr>
      <w:pStyle w:val="LFTFooterText"/>
      <w:rPr>
        <w:rFonts w:ascii="Arial" w:hAnsi="Arial"/>
        <w:sz w:val="26"/>
      </w:rPr>
    </w:pPr>
    <w:r>
      <w:rPr>
        <w:noProof/>
      </w:rPr>
      <w:drawing>
        <wp:anchor distT="0" distB="0" distL="114300" distR="114300" simplePos="0" relativeHeight="251752448" behindDoc="0" locked="0" layoutInCell="1" allowOverlap="1" wp14:anchorId="1DA4A34A" wp14:editId="501922DA">
          <wp:simplePos x="0" y="0"/>
          <wp:positionH relativeFrom="column">
            <wp:posOffset>5393321</wp:posOffset>
          </wp:positionH>
          <wp:positionV relativeFrom="paragraph">
            <wp:posOffset>-43372</wp:posOffset>
          </wp:positionV>
          <wp:extent cx="449510" cy="198407"/>
          <wp:effectExtent l="19050" t="0" r="7690" b="0"/>
          <wp:wrapNone/>
          <wp:docPr id="27" name="Picture 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a:stretch>
                    <a:fillRect/>
                  </a:stretch>
                </pic:blipFill>
                <pic:spPr>
                  <a:xfrm>
                    <a:off x="0" y="0"/>
                    <a:ext cx="449510" cy="198407"/>
                  </a:xfrm>
                  <a:prstGeom prst="rect">
                    <a:avLst/>
                  </a:prstGeom>
                </pic:spPr>
              </pic:pic>
            </a:graphicData>
          </a:graphic>
        </wp:anchor>
      </w:drawing>
    </w:r>
    <w:r>
      <w:t>2</w:t>
    </w:r>
    <w:r w:rsidRPr="00F03C9D">
      <w:t>-</w:t>
    </w:r>
    <w:r>
      <w:fldChar w:fldCharType="begin"/>
    </w:r>
    <w:r>
      <w:instrText xml:space="preserve"> PAGE </w:instrText>
    </w:r>
    <w:r>
      <w:fldChar w:fldCharType="separate"/>
    </w:r>
    <w:r w:rsidR="003E6AD9">
      <w:rPr>
        <w:noProof/>
      </w:rPr>
      <w:t>38</w:t>
    </w:r>
    <w:r>
      <w:rPr>
        <w:noProof/>
      </w:rPr>
      <w:fldChar w:fldCharType="end"/>
    </w:r>
  </w:p>
  <w:p w14:paraId="66747B22" w14:textId="77777777" w:rsidR="00CB4658" w:rsidRDefault="00CB4658" w:rsidP="00F57883">
    <w:pPr>
      <w:pStyle w:val="LFTDOCCODE"/>
      <w:tabs>
        <w:tab w:val="clear" w:pos="8640"/>
      </w:tabs>
      <w:ind w:left="1915"/>
      <w:jc w:val="right"/>
    </w:pPr>
    <w:r>
      <w:t>Constraints on Stormwater Infiltration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5DA80" w14:textId="77777777" w:rsidR="00CB4658" w:rsidRPr="00647BF2" w:rsidRDefault="00CB4658" w:rsidP="007A7190">
    <w:pPr>
      <w:pStyle w:val="LFTPageNumber0"/>
    </w:pPr>
    <w:r w:rsidRPr="00F57883">
      <w:rPr>
        <w:noProof/>
      </w:rPr>
      <w:drawing>
        <wp:anchor distT="0" distB="0" distL="114300" distR="114300" simplePos="0" relativeHeight="251757568" behindDoc="0" locked="0" layoutInCell="1" allowOverlap="1" wp14:anchorId="13309A75" wp14:editId="4AA2254A">
          <wp:simplePos x="0" y="0"/>
          <wp:positionH relativeFrom="column">
            <wp:posOffset>-13431</wp:posOffset>
          </wp:positionH>
          <wp:positionV relativeFrom="paragraph">
            <wp:posOffset>-42769</wp:posOffset>
          </wp:positionV>
          <wp:extent cx="446777" cy="197200"/>
          <wp:effectExtent l="19050" t="0" r="0" b="0"/>
          <wp:wrapNone/>
          <wp:docPr id="30" name="Picture 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a:stretch>
                    <a:fillRect/>
                  </a:stretch>
                </pic:blipFill>
                <pic:spPr>
                  <a:xfrm>
                    <a:off x="0" y="0"/>
                    <a:ext cx="446777" cy="197200"/>
                  </a:xfrm>
                  <a:prstGeom prst="rect">
                    <a:avLst/>
                  </a:prstGeom>
                </pic:spPr>
              </pic:pic>
            </a:graphicData>
          </a:graphic>
        </wp:anchor>
      </w:drawing>
    </w:r>
    <w:r>
      <w:tab/>
    </w:r>
    <w:r>
      <w:tab/>
    </w:r>
    <w:sdt>
      <w:sdtPr>
        <w:id w:val="1292866925"/>
        <w:docPartObj>
          <w:docPartGallery w:val="Page Numbers (Bottom of Page)"/>
          <w:docPartUnique/>
        </w:docPartObj>
      </w:sdtPr>
      <w:sdtEndPr/>
      <w:sdtContent>
        <w:r>
          <w:t>2-</w:t>
        </w:r>
        <w:r>
          <w:fldChar w:fldCharType="begin"/>
        </w:r>
        <w:r>
          <w:instrText xml:space="preserve"> PAGE   \* MERGEFORMAT </w:instrText>
        </w:r>
        <w:r>
          <w:fldChar w:fldCharType="separate"/>
        </w:r>
        <w:r w:rsidR="003E6AD9">
          <w:rPr>
            <w:noProof/>
          </w:rPr>
          <w:t>39</w:t>
        </w:r>
        <w:r>
          <w:rPr>
            <w:noProof/>
          </w:rPr>
          <w:fldChar w:fldCharType="end"/>
        </w:r>
      </w:sdtContent>
    </w:sdt>
  </w:p>
  <w:p w14:paraId="6F2C57C9" w14:textId="77777777" w:rsidR="00CB4658" w:rsidRPr="007A7190" w:rsidRDefault="00CB4658" w:rsidP="007A7190">
    <w:pPr>
      <w:pStyle w:val="LFTDOCCODE"/>
      <w:tabs>
        <w:tab w:val="clear" w:pos="8640"/>
        <w:tab w:val="right" w:pos="8370"/>
      </w:tabs>
      <w:ind w:left="1915" w:hanging="1915"/>
    </w:pPr>
    <w:r>
      <w:t>Constraints on Stormwater Infiltration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A0760" w14:textId="77777777" w:rsidR="00CB4658" w:rsidRPr="00F03C9D" w:rsidRDefault="00CB4658" w:rsidP="00E716DB">
    <w:pPr>
      <w:pStyle w:val="LFTFooterText"/>
    </w:pPr>
    <w:r w:rsidRPr="00F57883">
      <w:rPr>
        <w:rFonts w:ascii="Book Antiqua" w:hAnsi="Book Antiqua"/>
        <w:noProof/>
      </w:rPr>
      <w:drawing>
        <wp:anchor distT="0" distB="0" distL="114300" distR="114300" simplePos="0" relativeHeight="251747328" behindDoc="0" locked="0" layoutInCell="1" allowOverlap="1" wp14:anchorId="27C1BAFC" wp14:editId="4E2F2186">
          <wp:simplePos x="0" y="0"/>
          <wp:positionH relativeFrom="column">
            <wp:posOffset>-13417</wp:posOffset>
          </wp:positionH>
          <wp:positionV relativeFrom="paragraph">
            <wp:posOffset>-34745</wp:posOffset>
          </wp:positionV>
          <wp:extent cx="449510" cy="198407"/>
          <wp:effectExtent l="19050" t="0" r="7690" b="0"/>
          <wp:wrapNone/>
          <wp:docPr id="24" name="Picture 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a:stretch>
                    <a:fillRect/>
                  </a:stretch>
                </pic:blipFill>
                <pic:spPr>
                  <a:xfrm>
                    <a:off x="0" y="0"/>
                    <a:ext cx="449510" cy="198407"/>
                  </a:xfrm>
                  <a:prstGeom prst="rect">
                    <a:avLst/>
                  </a:prstGeom>
                </pic:spPr>
              </pic:pic>
            </a:graphicData>
          </a:graphic>
        </wp:anchor>
      </w:drawing>
    </w:r>
    <w:r>
      <w:rPr>
        <w:rFonts w:ascii="Book Antiqua" w:hAnsi="Book Antiqua"/>
      </w:rPr>
      <w:tab/>
    </w:r>
    <w:r>
      <w:rPr>
        <w:rFonts w:ascii="Book Antiqua" w:hAnsi="Book Antiqua"/>
      </w:rPr>
      <w:tab/>
      <w:t>2</w:t>
    </w:r>
    <w:r w:rsidRPr="00F03C9D">
      <w:t>-</w:t>
    </w:r>
    <w:r>
      <w:fldChar w:fldCharType="begin"/>
    </w:r>
    <w:r>
      <w:instrText xml:space="preserve"> PAGE </w:instrText>
    </w:r>
    <w:r>
      <w:fldChar w:fldCharType="separate"/>
    </w:r>
    <w:r w:rsidR="003E6AD9">
      <w:rPr>
        <w:noProof/>
      </w:rPr>
      <w:t>14</w:t>
    </w:r>
    <w:r>
      <w:rPr>
        <w:noProof/>
      </w:rPr>
      <w:fldChar w:fldCharType="end"/>
    </w:r>
  </w:p>
  <w:p w14:paraId="3F89E277" w14:textId="77777777" w:rsidR="00CB4658" w:rsidRDefault="00CB4658" w:rsidP="00F57883">
    <w:pPr>
      <w:pStyle w:val="LFTDOCCODE"/>
      <w:tabs>
        <w:tab w:val="clear" w:pos="8640"/>
        <w:tab w:val="right" w:pos="8370"/>
      </w:tabs>
      <w:ind w:left="1915" w:hanging="1915"/>
    </w:pPr>
    <w:r w:rsidRPr="00F03C9D">
      <w:t>Document Code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26699" w14:textId="77777777" w:rsidR="00F23DB4" w:rsidRDefault="00F23DB4" w:rsidP="00361D9F">
      <w:r>
        <w:separator/>
      </w:r>
    </w:p>
  </w:footnote>
  <w:footnote w:type="continuationSeparator" w:id="0">
    <w:p w14:paraId="4B1C25F9" w14:textId="77777777" w:rsidR="00F23DB4" w:rsidRDefault="00F23DB4" w:rsidP="00361D9F">
      <w:r>
        <w:continuationSeparator/>
      </w:r>
    </w:p>
  </w:footnote>
  <w:footnote w:id="1">
    <w:p w14:paraId="14119D7A" w14:textId="77777777" w:rsidR="00CB4658" w:rsidRDefault="00CB4658" w:rsidP="00B0495B">
      <w:pPr>
        <w:pStyle w:val="FootnoteText"/>
      </w:pPr>
      <w:r>
        <w:rPr>
          <w:rStyle w:val="FootnoteReference"/>
        </w:rPr>
        <w:footnoteRef/>
      </w:r>
      <w:r>
        <w:t xml:space="preserve"> Information in this section was obtained from the Low Impact Development Manual for Michigan (SEMCOG, 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1889C" w14:textId="77777777" w:rsidR="00CB4658" w:rsidRPr="00922700" w:rsidRDefault="00CB4658" w:rsidP="00F57883">
    <w:pPr>
      <w:pStyle w:val="LFTRunningheaderRight"/>
      <w:jc w:val="left"/>
    </w:pPr>
    <w:r>
      <w:rPr>
        <w:noProof/>
      </w:rPr>
      <mc:AlternateContent>
        <mc:Choice Requires="wps">
          <w:drawing>
            <wp:anchor distT="0" distB="0" distL="114300" distR="114300" simplePos="0" relativeHeight="251731968" behindDoc="1" locked="0" layoutInCell="1" allowOverlap="1" wp14:anchorId="25776288" wp14:editId="700BBBFE">
              <wp:simplePos x="0" y="0"/>
              <wp:positionH relativeFrom="page">
                <wp:posOffset>685800</wp:posOffset>
              </wp:positionH>
              <wp:positionV relativeFrom="page">
                <wp:posOffset>457200</wp:posOffset>
              </wp:positionV>
              <wp:extent cx="8890" cy="8686800"/>
              <wp:effectExtent l="0" t="0" r="0" b="0"/>
              <wp:wrapNone/>
              <wp:docPr id="1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B3249" id="Rectangle 85" o:spid="_x0000_s1026" style="position:absolute;margin-left:54pt;margin-top:36pt;width:.7pt;height:684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" fillcolor="#0081c6 [3214]" stroked="f">
              <v:fill color2="#eaf7ff [254]" rotate="t" focus="100%" type="gradient"/>
              <w10:wrap anchorx="page" anchory="page"/>
            </v:rect>
          </w:pict>
        </mc:Fallback>
      </mc:AlternateContent>
    </w:r>
    <w:r w:rsidRPr="00922700">
      <w:rPr>
        <w:color w:val="7F7F7F" w:themeColor="text1" w:themeTint="80"/>
      </w:rPr>
      <w:t xml:space="preserve">Section </w:t>
    </w:r>
    <w:r>
      <w:rPr>
        <w:color w:val="7F7F7F" w:themeColor="text1" w:themeTint="80"/>
      </w:rPr>
      <w:t>2</w:t>
    </w:r>
    <w:r w:rsidRPr="00922700">
      <w:t xml:space="preserve">  </w:t>
    </w:r>
    <w:r w:rsidRPr="00922700">
      <w:sym w:font="Symbol" w:char="F0B7"/>
    </w:r>
    <w:r w:rsidRPr="00922700">
      <w:t xml:space="preserve">  </w:t>
    </w:r>
    <w:r>
      <w:t>Constraints on Stormwater Infiltration</w:t>
    </w:r>
  </w:p>
  <w:p w14:paraId="2F6290C1" w14:textId="77777777" w:rsidR="00CB4658" w:rsidRDefault="00CB4658">
    <w:pPr>
      <w:pStyle w:val="Header"/>
    </w:pPr>
    <w:r>
      <w:rPr>
        <w:noProof/>
        <w:lang w:bidi="ar-SA"/>
      </w:rPr>
      <mc:AlternateContent>
        <mc:Choice Requires="wps">
          <w:drawing>
            <wp:anchor distT="0" distB="0" distL="114300" distR="114300" simplePos="0" relativeHeight="251730944" behindDoc="1" locked="0" layoutInCell="1" allowOverlap="1" wp14:anchorId="0D37EF25" wp14:editId="35DE1943">
              <wp:simplePos x="0" y="0"/>
              <wp:positionH relativeFrom="page">
                <wp:posOffset>457200</wp:posOffset>
              </wp:positionH>
              <wp:positionV relativeFrom="page">
                <wp:posOffset>685800</wp:posOffset>
              </wp:positionV>
              <wp:extent cx="6290945" cy="8890"/>
              <wp:effectExtent l="0" t="0" r="0" b="0"/>
              <wp:wrapNone/>
              <wp:docPr id="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19C1F" id="Rectangle 84" o:spid="_x0000_s1026" style="position:absolute;margin-left:36pt;margin-top:54pt;width:495.35pt;height:.7pt;flip:y;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" fillcolor="#0081c6 [3214]" stroked="f">
              <v:fill color2="#e4f5ff [318]" rotate="t" angle="90" focus="100%" type="gradien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DD4A5" w14:textId="0ADA6B0F" w:rsidR="00CB4658" w:rsidRPr="00922700" w:rsidRDefault="00CB4658" w:rsidP="007A7190">
    <w:pPr>
      <w:pStyle w:val="LFTRunningheaderRight"/>
    </w:pPr>
    <w:r>
      <w:rPr>
        <w:noProof/>
        <w:color w:val="7F7F7F" w:themeColor="text1" w:themeTint="80"/>
      </w:rPr>
      <mc:AlternateContent>
        <mc:Choice Requires="wps">
          <w:drawing>
            <wp:anchor distT="0" distB="0" distL="114300" distR="114300" simplePos="0" relativeHeight="251735040" behindDoc="1" locked="0" layoutInCell="1" allowOverlap="1" wp14:anchorId="247BE95F" wp14:editId="7C37856F">
              <wp:simplePos x="0" y="0"/>
              <wp:positionH relativeFrom="margin">
                <wp:posOffset>5882640</wp:posOffset>
              </wp:positionH>
              <wp:positionV relativeFrom="page">
                <wp:posOffset>466725</wp:posOffset>
              </wp:positionV>
              <wp:extent cx="8890" cy="8686800"/>
              <wp:effectExtent l="0" t="0" r="0" b="0"/>
              <wp:wrapNone/>
              <wp:docPr id="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29CA0" id="Rectangle 87" o:spid="_x0000_s1026" style="position:absolute;margin-left:463.2pt;margin-top:36.75pt;width:.7pt;height:684pt;flip:x;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" fillcolor="#0081c6 [3214]" stroked="f">
              <v:fill color2="#eaf7ff [254]" rotate="t" focus="100%" type="gradient"/>
              <w10:wrap anchorx="margin" anchory="page"/>
            </v:rect>
          </w:pict>
        </mc:Fallback>
      </mc:AlternateContent>
    </w:r>
    <w:r w:rsidRPr="00922700">
      <w:rPr>
        <w:color w:val="7F7F7F" w:themeColor="text1" w:themeTint="80"/>
      </w:rPr>
      <w:t xml:space="preserve">Section </w:t>
    </w:r>
    <w:r>
      <w:rPr>
        <w:color w:val="7F7F7F" w:themeColor="text1" w:themeTint="80"/>
      </w:rPr>
      <w:t>2</w:t>
    </w:r>
    <w:r w:rsidRPr="00922700">
      <w:t xml:space="preserve"> </w:t>
    </w:r>
    <w:r w:rsidRPr="00922700">
      <w:sym w:font="Symbol" w:char="F0B7"/>
    </w:r>
    <w:r w:rsidRPr="00922700">
      <w:t xml:space="preserve">  </w:t>
    </w:r>
    <w:r>
      <w:t>Constraints on Stormwater Infiltration</w:t>
    </w:r>
  </w:p>
  <w:p w14:paraId="5A63801A" w14:textId="77777777" w:rsidR="00CB4658" w:rsidRPr="007A7190" w:rsidRDefault="00CB4658" w:rsidP="007A7190">
    <w:r>
      <w:rPr>
        <w:noProof/>
        <w:lang w:bidi="ar-SA"/>
      </w:rPr>
      <mc:AlternateContent>
        <mc:Choice Requires="wps">
          <w:drawing>
            <wp:anchor distT="0" distB="0" distL="114300" distR="114300" simplePos="0" relativeHeight="251734016" behindDoc="1" locked="0" layoutInCell="1" allowOverlap="1" wp14:anchorId="6D6AE10F" wp14:editId="3848EEB7">
              <wp:simplePos x="0" y="0"/>
              <wp:positionH relativeFrom="page">
                <wp:posOffset>1033145</wp:posOffset>
              </wp:positionH>
              <wp:positionV relativeFrom="page">
                <wp:posOffset>685800</wp:posOffset>
              </wp:positionV>
              <wp:extent cx="6290945" cy="8890"/>
              <wp:effectExtent l="0" t="0" r="0" b="0"/>
              <wp:wrapNone/>
              <wp:docPr id="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1E71A" id="Rectangle 86" o:spid="_x0000_s1026" style="position:absolute;margin-left:81.35pt;margin-top:54pt;width:495.35pt;height:.7pt;flip:x;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" fillcolor="#0081c6 [3214]" stroked="f">
              <v:fill color2="#e4f5ff [318]" rotate="t" angle="90" focus="100%" type="gradien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724E0" w14:textId="77777777" w:rsidR="00CB4658" w:rsidRDefault="00CB4658">
    <w:pPr>
      <w:pStyle w:val="Header"/>
    </w:pPr>
    <w:r>
      <w:rPr>
        <w:noProof/>
        <w:lang w:bidi="ar-SA"/>
      </w:rPr>
      <mc:AlternateContent>
        <mc:Choice Requires="wps">
          <w:drawing>
            <wp:anchor distT="0" distB="0" distL="114300" distR="114300" simplePos="0" relativeHeight="251724800" behindDoc="1" locked="0" layoutInCell="1" allowOverlap="1" wp14:anchorId="1F4EBA62" wp14:editId="2A510ABC">
              <wp:simplePos x="0" y="0"/>
              <wp:positionH relativeFrom="page">
                <wp:posOffset>804545</wp:posOffset>
              </wp:positionH>
              <wp:positionV relativeFrom="page">
                <wp:posOffset>457200</wp:posOffset>
              </wp:positionV>
              <wp:extent cx="18415" cy="8686800"/>
              <wp:effectExtent l="0" t="0" r="635" b="0"/>
              <wp:wrapNone/>
              <wp:docPr id="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90D41" id="Rectangle 83" o:spid="_x0000_s1026" style="position:absolute;margin-left:63.35pt;margin-top:36pt;width:1.45pt;height:684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" fillcolor="#0081c6 [3214]" stroked="f">
              <v:fill color2="#eaf7ff [254]" rotate="t" focus="100%" type="gradient"/>
              <w10:wrap anchorx="page" anchory="page"/>
            </v:rect>
          </w:pict>
        </mc:Fallback>
      </mc:AlternateContent>
    </w:r>
    <w:r>
      <w:rPr>
        <w:noProof/>
        <w:lang w:bidi="ar-SA"/>
      </w:rPr>
      <mc:AlternateContent>
        <mc:Choice Requires="wps">
          <w:drawing>
            <wp:anchor distT="0" distB="0" distL="114300" distR="114300" simplePos="0" relativeHeight="251723776" behindDoc="1" locked="0" layoutInCell="1" allowOverlap="1" wp14:anchorId="02158C91" wp14:editId="0FBE47FB">
              <wp:simplePos x="0" y="0"/>
              <wp:positionH relativeFrom="page">
                <wp:posOffset>457200</wp:posOffset>
              </wp:positionH>
              <wp:positionV relativeFrom="page">
                <wp:posOffset>1257300</wp:posOffset>
              </wp:positionV>
              <wp:extent cx="6400800" cy="18415"/>
              <wp:effectExtent l="0" t="0" r="0" b="635"/>
              <wp:wrapNone/>
              <wp:docPr id="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70306" id="Rectangle 82" o:spid="_x0000_s1026" style="position:absolute;margin-left:36pt;margin-top:99pt;width:7in;height:1.4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" fillcolor="#0081c6 [3214]" stroked="f">
              <v:fill color2="#e4f5ff [318]" rotate="t" angle="90" focus="100%" type="gradient"/>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1D7A3" w14:textId="77777777" w:rsidR="00CB4658" w:rsidRPr="00922700" w:rsidRDefault="00CB4658" w:rsidP="007A7190">
    <w:pPr>
      <w:pStyle w:val="LFTRunningheaderRight"/>
    </w:pPr>
    <w:r>
      <w:rPr>
        <w:noProof/>
        <w:color w:val="7F7F7F" w:themeColor="text1" w:themeTint="80"/>
      </w:rPr>
      <mc:AlternateContent>
        <mc:Choice Requires="wps">
          <w:drawing>
            <wp:anchor distT="0" distB="0" distL="114300" distR="114300" simplePos="0" relativeHeight="251760640" behindDoc="1" locked="0" layoutInCell="1" allowOverlap="1" wp14:anchorId="64E0B044" wp14:editId="1EB8DA2D">
              <wp:simplePos x="0" y="0"/>
              <wp:positionH relativeFrom="margin">
                <wp:posOffset>13745210</wp:posOffset>
              </wp:positionH>
              <wp:positionV relativeFrom="page">
                <wp:posOffset>466725</wp:posOffset>
              </wp:positionV>
              <wp:extent cx="8890" cy="8686800"/>
              <wp:effectExtent l="0" t="0" r="0" b="0"/>
              <wp:wrapNone/>
              <wp:docPr id="31"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E73D8" id="Rectangle 87" o:spid="_x0000_s1026" style="position:absolute;margin-left:1082.3pt;margin-top:36.75pt;width:.7pt;height:684pt;flip:x;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" fillcolor="#0081c6 [3214]" stroked="f">
              <v:fill color2="#eaf7ff [254]" rotate="t" focus="100%" type="gradient"/>
              <w10:wrap anchorx="margin" anchory="page"/>
            </v:rect>
          </w:pict>
        </mc:Fallback>
      </mc:AlternateContent>
    </w:r>
    <w:r w:rsidRPr="00922700">
      <w:rPr>
        <w:color w:val="7F7F7F" w:themeColor="text1" w:themeTint="80"/>
      </w:rPr>
      <w:t xml:space="preserve">Section </w:t>
    </w:r>
    <w:r>
      <w:rPr>
        <w:color w:val="7F7F7F" w:themeColor="text1" w:themeTint="80"/>
      </w:rPr>
      <w:t>2</w:t>
    </w:r>
    <w:r w:rsidRPr="00922700">
      <w:t xml:space="preserve"> </w:t>
    </w:r>
    <w:r w:rsidRPr="00922700">
      <w:sym w:font="Symbol" w:char="F0B7"/>
    </w:r>
    <w:r w:rsidRPr="00922700">
      <w:t xml:space="preserve">  </w:t>
    </w:r>
    <w:r>
      <w:t>Constraints on Stormwater Infiltration</w:t>
    </w:r>
  </w:p>
  <w:p w14:paraId="668A5B62" w14:textId="77777777" w:rsidR="00CB4658" w:rsidRPr="007A7190" w:rsidRDefault="00CB4658" w:rsidP="007A7190">
    <w:r>
      <w:rPr>
        <w:noProof/>
        <w:lang w:bidi="ar-SA"/>
      </w:rPr>
      <mc:AlternateContent>
        <mc:Choice Requires="wps">
          <w:drawing>
            <wp:anchor distT="0" distB="0" distL="114300" distR="114300" simplePos="0" relativeHeight="251759616" behindDoc="1" locked="0" layoutInCell="1" allowOverlap="1" wp14:anchorId="477E33D4" wp14:editId="62556952">
              <wp:simplePos x="0" y="0"/>
              <wp:positionH relativeFrom="page">
                <wp:posOffset>1033145</wp:posOffset>
              </wp:positionH>
              <wp:positionV relativeFrom="page">
                <wp:posOffset>685800</wp:posOffset>
              </wp:positionV>
              <wp:extent cx="13990320" cy="8890"/>
              <wp:effectExtent l="0" t="0" r="0" b="0"/>
              <wp:wrapNone/>
              <wp:docPr id="3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990320"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51953" id="Rectangle 86" o:spid="_x0000_s1026" style="position:absolute;margin-left:81.35pt;margin-top:54pt;width:1101.6pt;height:.7pt;flip:x;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" fillcolor="#0081c6 [3214]" stroked="f">
              <v:fill color2="#e4f5ff [318]" rotate="t" angle="90" focus="100%" type="gradient"/>
              <w10:wrap anchorx="page" anchory="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75" w14:textId="77777777" w:rsidR="00CB4658" w:rsidRDefault="00CB4658">
    <w:pPr>
      <w:pStyle w:val="Header"/>
    </w:pPr>
    <w:r>
      <w:rPr>
        <w:noProof/>
        <w:lang w:bidi="ar-SA"/>
      </w:rPr>
      <mc:AlternateContent>
        <mc:Choice Requires="wps">
          <w:drawing>
            <wp:anchor distT="0" distB="0" distL="114300" distR="114300" simplePos="0" relativeHeight="251740160" behindDoc="1" locked="0" layoutInCell="1" allowOverlap="1" wp14:anchorId="185CC256" wp14:editId="399824E0">
              <wp:simplePos x="0" y="0"/>
              <wp:positionH relativeFrom="page">
                <wp:posOffset>804545</wp:posOffset>
              </wp:positionH>
              <wp:positionV relativeFrom="page">
                <wp:posOffset>457200</wp:posOffset>
              </wp:positionV>
              <wp:extent cx="18415" cy="8686800"/>
              <wp:effectExtent l="0" t="0" r="635" b="0"/>
              <wp:wrapNone/>
              <wp:docPr id="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E0C6B" id="Rectangle 83" o:spid="_x0000_s1026" style="position:absolute;margin-left:63.35pt;margin-top:36pt;width:1.45pt;height:684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" fillcolor="#0081c6 [3214]" stroked="f">
              <v:fill color2="#eaf7ff [254]" rotate="t" focus="100%" type="gradient"/>
              <w10:wrap anchorx="page" anchory="page"/>
            </v:rect>
          </w:pict>
        </mc:Fallback>
      </mc:AlternateContent>
    </w:r>
    <w:r>
      <w:rPr>
        <w:noProof/>
        <w:lang w:bidi="ar-SA"/>
      </w:rPr>
      <mc:AlternateContent>
        <mc:Choice Requires="wps">
          <w:drawing>
            <wp:anchor distT="0" distB="0" distL="114300" distR="114300" simplePos="0" relativeHeight="251739136" behindDoc="1" locked="0" layoutInCell="1" allowOverlap="1" wp14:anchorId="1CCB71BB" wp14:editId="43D6C9EE">
              <wp:simplePos x="0" y="0"/>
              <wp:positionH relativeFrom="page">
                <wp:posOffset>457200</wp:posOffset>
              </wp:positionH>
              <wp:positionV relativeFrom="page">
                <wp:posOffset>1257300</wp:posOffset>
              </wp:positionV>
              <wp:extent cx="6400800" cy="18415"/>
              <wp:effectExtent l="0" t="0" r="0" b="635"/>
              <wp:wrapNone/>
              <wp:docPr id="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91723" id="Rectangle 82" o:spid="_x0000_s1026" style="position:absolute;margin-left:36pt;margin-top:99pt;width:7in;height:1.4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" fillcolor="#0081c6 [3214]" stroked="f">
              <v:fill color2="#e4f5ff [318]" rotate="t" angle="90" focus="100%" type="gradient"/>
              <w10:wrap anchorx="page" anchory="page"/>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E9C2A" w14:textId="77777777" w:rsidR="00CB4658" w:rsidRPr="00922700" w:rsidRDefault="00CB4658" w:rsidP="00F57883">
    <w:pPr>
      <w:pStyle w:val="LFTRunningheaderRight"/>
      <w:jc w:val="left"/>
    </w:pPr>
    <w:r>
      <w:rPr>
        <w:noProof/>
      </w:rPr>
      <mc:AlternateContent>
        <mc:Choice Requires="wps">
          <w:drawing>
            <wp:anchor distT="0" distB="0" distL="114300" distR="114300" simplePos="0" relativeHeight="251750400" behindDoc="1" locked="0" layoutInCell="1" allowOverlap="1" wp14:anchorId="5A3CC11D" wp14:editId="67C96D58">
              <wp:simplePos x="0" y="0"/>
              <wp:positionH relativeFrom="page">
                <wp:posOffset>685800</wp:posOffset>
              </wp:positionH>
              <wp:positionV relativeFrom="page">
                <wp:posOffset>457200</wp:posOffset>
              </wp:positionV>
              <wp:extent cx="8890" cy="8686800"/>
              <wp:effectExtent l="0" t="0" r="0" b="0"/>
              <wp:wrapNone/>
              <wp:docPr id="2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B521F" id="Rectangle 85" o:spid="_x0000_s1026" style="position:absolute;margin-left:54pt;margin-top:36pt;width:.7pt;height:684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" fillcolor="#0081c6 [3214]" stroked="f">
              <v:fill color2="#eaf7ff [254]" rotate="t" focus="100%" type="gradient"/>
              <w10:wrap anchorx="page" anchory="page"/>
            </v:rect>
          </w:pict>
        </mc:Fallback>
      </mc:AlternateContent>
    </w:r>
    <w:r w:rsidRPr="00922700">
      <w:rPr>
        <w:color w:val="7F7F7F" w:themeColor="text1" w:themeTint="80"/>
      </w:rPr>
      <w:t xml:space="preserve">Section </w:t>
    </w:r>
    <w:r>
      <w:rPr>
        <w:color w:val="7F7F7F" w:themeColor="text1" w:themeTint="80"/>
      </w:rPr>
      <w:t>2</w:t>
    </w:r>
    <w:r w:rsidRPr="00922700">
      <w:t xml:space="preserve">  </w:t>
    </w:r>
    <w:r w:rsidRPr="00922700">
      <w:sym w:font="Symbol" w:char="F0B7"/>
    </w:r>
    <w:r w:rsidRPr="00922700">
      <w:t xml:space="preserve">  </w:t>
    </w:r>
    <w:r>
      <w:t>Constraints on Stormwater Infiltration</w:t>
    </w:r>
  </w:p>
  <w:p w14:paraId="3469CF26" w14:textId="77777777" w:rsidR="00CB4658" w:rsidRDefault="00CB4658">
    <w:pPr>
      <w:pStyle w:val="Header"/>
    </w:pPr>
    <w:r>
      <w:rPr>
        <w:noProof/>
        <w:lang w:bidi="ar-SA"/>
      </w:rPr>
      <mc:AlternateContent>
        <mc:Choice Requires="wps">
          <w:drawing>
            <wp:anchor distT="0" distB="0" distL="114300" distR="114300" simplePos="0" relativeHeight="251749376" behindDoc="1" locked="0" layoutInCell="1" allowOverlap="1" wp14:anchorId="3574B3D1" wp14:editId="59233383">
              <wp:simplePos x="0" y="0"/>
              <wp:positionH relativeFrom="page">
                <wp:posOffset>457200</wp:posOffset>
              </wp:positionH>
              <wp:positionV relativeFrom="page">
                <wp:posOffset>685800</wp:posOffset>
              </wp:positionV>
              <wp:extent cx="6290945" cy="8890"/>
              <wp:effectExtent l="0" t="0" r="0" b="0"/>
              <wp:wrapNone/>
              <wp:docPr id="2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CFC09" id="Rectangle 84" o:spid="_x0000_s1026" style="position:absolute;margin-left:36pt;margin-top:54pt;width:495.35pt;height:.7pt;flip:y;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" fillcolor="#0081c6 [3214]" stroked="f">
              <v:fill color2="#e4f5ff [318]" rotate="t" angle="90" focus="100%" type="gradient"/>
              <w10:wrap anchorx="page" anchory="page"/>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B7EEB" w14:textId="77777777" w:rsidR="00CB4658" w:rsidRPr="00922700" w:rsidRDefault="00CB4658" w:rsidP="007A7190">
    <w:pPr>
      <w:pStyle w:val="LFTRunningheaderRight"/>
    </w:pPr>
    <w:r w:rsidRPr="00922700">
      <w:rPr>
        <w:color w:val="7F7F7F" w:themeColor="text1" w:themeTint="80"/>
      </w:rPr>
      <w:t xml:space="preserve">Section </w:t>
    </w:r>
    <w:r>
      <w:rPr>
        <w:noProof/>
        <w:color w:val="7F7F7F" w:themeColor="text1" w:themeTint="80"/>
      </w:rPr>
      <mc:AlternateContent>
        <mc:Choice Requires="wps">
          <w:drawing>
            <wp:anchor distT="0" distB="0" distL="114300" distR="114300" simplePos="0" relativeHeight="251755520" behindDoc="1" locked="0" layoutInCell="1" allowOverlap="1" wp14:anchorId="78779750" wp14:editId="1EF4D678">
              <wp:simplePos x="0" y="0"/>
              <wp:positionH relativeFrom="page">
                <wp:posOffset>7086600</wp:posOffset>
              </wp:positionH>
              <wp:positionV relativeFrom="page">
                <wp:posOffset>457200</wp:posOffset>
              </wp:positionV>
              <wp:extent cx="8890" cy="8686800"/>
              <wp:effectExtent l="0" t="0" r="0" b="0"/>
              <wp:wrapNone/>
              <wp:docPr id="2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3A3F9" id="Rectangle 87" o:spid="_x0000_s1026" style="position:absolute;margin-left:558pt;margin-top:36pt;width:.7pt;height:684pt;flip:x;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" fillcolor="#0081c6 [3214]" stroked="f">
              <v:fill color2="#eaf7ff [254]" rotate="t" focus="100%" type="gradient"/>
              <w10:wrap anchorx="page" anchory="page"/>
            </v:rect>
          </w:pict>
        </mc:Fallback>
      </mc:AlternateContent>
    </w:r>
    <w:r>
      <w:rPr>
        <w:color w:val="7F7F7F" w:themeColor="text1" w:themeTint="80"/>
      </w:rPr>
      <w:t>2</w:t>
    </w:r>
    <w:r w:rsidRPr="00922700">
      <w:t xml:space="preserve"> </w:t>
    </w:r>
    <w:r w:rsidRPr="00922700">
      <w:sym w:font="Symbol" w:char="F0B7"/>
    </w:r>
    <w:r w:rsidRPr="00922700">
      <w:t xml:space="preserve">  </w:t>
    </w:r>
    <w:r>
      <w:t>Constraints on Stormwater Infiltration</w:t>
    </w:r>
  </w:p>
  <w:p w14:paraId="4FE0A71B" w14:textId="77777777" w:rsidR="00CB4658" w:rsidRPr="007A7190" w:rsidRDefault="00CB4658" w:rsidP="007A7190">
    <w:r>
      <w:rPr>
        <w:noProof/>
        <w:lang w:bidi="ar-SA"/>
      </w:rPr>
      <mc:AlternateContent>
        <mc:Choice Requires="wps">
          <w:drawing>
            <wp:anchor distT="0" distB="0" distL="114300" distR="114300" simplePos="0" relativeHeight="251754496" behindDoc="1" locked="0" layoutInCell="1" allowOverlap="1" wp14:anchorId="31D47D8E" wp14:editId="3FE180C2">
              <wp:simplePos x="0" y="0"/>
              <wp:positionH relativeFrom="page">
                <wp:posOffset>1033145</wp:posOffset>
              </wp:positionH>
              <wp:positionV relativeFrom="page">
                <wp:posOffset>685800</wp:posOffset>
              </wp:positionV>
              <wp:extent cx="6290945" cy="8890"/>
              <wp:effectExtent l="0" t="0" r="0" b="0"/>
              <wp:wrapNone/>
              <wp:docPr id="2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7EF17" id="Rectangle 86" o:spid="_x0000_s1026" style="position:absolute;margin-left:81.35pt;margin-top:54pt;width:495.35pt;height:.7pt;flip:x;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" fillcolor="#0081c6 [3214]" stroked="f">
              <v:fill color2="#e4f5ff [318]" rotate="t" angle="90" focus="100%" type="gradient"/>
              <w10:wrap anchorx="page" anchory="page"/>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41DC2" w14:textId="77777777" w:rsidR="00CB4658" w:rsidRPr="00922700" w:rsidRDefault="00CB4658" w:rsidP="004A4AC6">
    <w:pPr>
      <w:pStyle w:val="LFTRunningheaderRight"/>
      <w:jc w:val="left"/>
    </w:pPr>
    <w:r>
      <w:rPr>
        <w:noProof/>
      </w:rPr>
      <mc:AlternateContent>
        <mc:Choice Requires="wps">
          <w:drawing>
            <wp:anchor distT="0" distB="0" distL="114300" distR="114300" simplePos="0" relativeHeight="251763712" behindDoc="1" locked="0" layoutInCell="1" allowOverlap="1" wp14:anchorId="087A2856" wp14:editId="516A23E3">
              <wp:simplePos x="0" y="0"/>
              <wp:positionH relativeFrom="page">
                <wp:posOffset>685800</wp:posOffset>
              </wp:positionH>
              <wp:positionV relativeFrom="page">
                <wp:posOffset>457200</wp:posOffset>
              </wp:positionV>
              <wp:extent cx="8890" cy="8686800"/>
              <wp:effectExtent l="0" t="0" r="0" b="0"/>
              <wp:wrapNone/>
              <wp:docPr id="3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C1DD6" id="Rectangle 85" o:spid="_x0000_s1026" style="position:absolute;margin-left:54pt;margin-top:36pt;width:.7pt;height:684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" fillcolor="#0081c6 [3214]" stroked="f">
              <v:fill color2="#eaf7ff [254]" rotate="t" focus="100%" type="gradient"/>
              <w10:wrap anchorx="page" anchory="page"/>
            </v:rect>
          </w:pict>
        </mc:Fallback>
      </mc:AlternateContent>
    </w:r>
    <w:r w:rsidRPr="00922700">
      <w:rPr>
        <w:color w:val="7F7F7F" w:themeColor="text1" w:themeTint="80"/>
      </w:rPr>
      <w:t xml:space="preserve">Section </w:t>
    </w:r>
    <w:r>
      <w:rPr>
        <w:color w:val="7F7F7F" w:themeColor="text1" w:themeTint="80"/>
      </w:rPr>
      <w:t>2</w:t>
    </w:r>
    <w:r w:rsidRPr="00922700">
      <w:t xml:space="preserve">  </w:t>
    </w:r>
    <w:r w:rsidRPr="00922700">
      <w:sym w:font="Symbol" w:char="F0B7"/>
    </w:r>
    <w:r w:rsidRPr="00922700">
      <w:t xml:space="preserve">  </w:t>
    </w:r>
    <w:r>
      <w:t>Constraints on Stormwater Infiltration</w:t>
    </w:r>
  </w:p>
  <w:p w14:paraId="60466AC0" w14:textId="77777777" w:rsidR="00CB4658" w:rsidRDefault="00CB4658" w:rsidP="004A4AC6">
    <w:pPr>
      <w:pStyle w:val="Header"/>
    </w:pPr>
    <w:r>
      <w:rPr>
        <w:noProof/>
        <w:lang w:bidi="ar-SA"/>
      </w:rPr>
      <mc:AlternateContent>
        <mc:Choice Requires="wps">
          <w:drawing>
            <wp:anchor distT="0" distB="0" distL="114300" distR="114300" simplePos="0" relativeHeight="251762688" behindDoc="1" locked="0" layoutInCell="1" allowOverlap="1" wp14:anchorId="6FEFA197" wp14:editId="57170DCC">
              <wp:simplePos x="0" y="0"/>
              <wp:positionH relativeFrom="page">
                <wp:posOffset>457200</wp:posOffset>
              </wp:positionH>
              <wp:positionV relativeFrom="page">
                <wp:posOffset>685800</wp:posOffset>
              </wp:positionV>
              <wp:extent cx="6290945" cy="8890"/>
              <wp:effectExtent l="0" t="0" r="0" b="0"/>
              <wp:wrapNone/>
              <wp:docPr id="3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A7DC5" id="Rectangle 84" o:spid="_x0000_s1026" style="position:absolute;margin-left:36pt;margin-top:54pt;width:495.35pt;height:.7pt;flip:y;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" fillcolor="#0081c6 [3214]" stroked="f">
              <v:fill color2="#e4f5ff [318]" rotate="t" angle="90" focus="100%" type="gradient"/>
              <w10:wrap anchorx="page" anchory="page"/>
            </v:rect>
          </w:pict>
        </mc:Fallback>
      </mc:AlternateContent>
    </w:r>
  </w:p>
  <w:p w14:paraId="74F41DCC" w14:textId="6862C107" w:rsidR="00CB4658" w:rsidRDefault="00CB46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22EA3"/>
    <w:multiLevelType w:val="multilevel"/>
    <w:tmpl w:val="BB8EDF9A"/>
    <w:lvl w:ilvl="0">
      <w:start w:val="1"/>
      <w:numFmt w:val="decimal"/>
      <w:lvlText w:val="%1."/>
      <w:lvlJc w:val="left"/>
      <w:pPr>
        <w:tabs>
          <w:tab w:val="num" w:pos="1656"/>
        </w:tabs>
        <w:ind w:left="1656" w:hanging="360"/>
      </w:pPr>
    </w:lvl>
    <w:lvl w:ilvl="1">
      <w:start w:val="1"/>
      <w:numFmt w:val="lowerLetter"/>
      <w:lvlText w:val="%2."/>
      <w:lvlJc w:val="left"/>
      <w:pPr>
        <w:tabs>
          <w:tab w:val="num" w:pos="2376"/>
        </w:tabs>
        <w:ind w:left="2376" w:hanging="360"/>
      </w:pPr>
    </w:lvl>
    <w:lvl w:ilvl="2" w:tentative="1">
      <w:start w:val="1"/>
      <w:numFmt w:val="decimal"/>
      <w:lvlText w:val="%3."/>
      <w:lvlJc w:val="left"/>
      <w:pPr>
        <w:tabs>
          <w:tab w:val="num" w:pos="3096"/>
        </w:tabs>
        <w:ind w:left="3096" w:hanging="360"/>
      </w:pPr>
    </w:lvl>
    <w:lvl w:ilvl="3" w:tentative="1">
      <w:start w:val="1"/>
      <w:numFmt w:val="decimal"/>
      <w:lvlText w:val="%4."/>
      <w:lvlJc w:val="left"/>
      <w:pPr>
        <w:tabs>
          <w:tab w:val="num" w:pos="3816"/>
        </w:tabs>
        <w:ind w:left="3816" w:hanging="360"/>
      </w:pPr>
    </w:lvl>
    <w:lvl w:ilvl="4" w:tentative="1">
      <w:start w:val="1"/>
      <w:numFmt w:val="decimal"/>
      <w:lvlText w:val="%5."/>
      <w:lvlJc w:val="left"/>
      <w:pPr>
        <w:tabs>
          <w:tab w:val="num" w:pos="4536"/>
        </w:tabs>
        <w:ind w:left="4536" w:hanging="360"/>
      </w:pPr>
    </w:lvl>
    <w:lvl w:ilvl="5" w:tentative="1">
      <w:start w:val="1"/>
      <w:numFmt w:val="decimal"/>
      <w:lvlText w:val="%6."/>
      <w:lvlJc w:val="left"/>
      <w:pPr>
        <w:tabs>
          <w:tab w:val="num" w:pos="5256"/>
        </w:tabs>
        <w:ind w:left="5256" w:hanging="360"/>
      </w:pPr>
    </w:lvl>
    <w:lvl w:ilvl="6" w:tentative="1">
      <w:start w:val="1"/>
      <w:numFmt w:val="decimal"/>
      <w:lvlText w:val="%7."/>
      <w:lvlJc w:val="left"/>
      <w:pPr>
        <w:tabs>
          <w:tab w:val="num" w:pos="5976"/>
        </w:tabs>
        <w:ind w:left="5976" w:hanging="360"/>
      </w:pPr>
    </w:lvl>
    <w:lvl w:ilvl="7" w:tentative="1">
      <w:start w:val="1"/>
      <w:numFmt w:val="decimal"/>
      <w:lvlText w:val="%8."/>
      <w:lvlJc w:val="left"/>
      <w:pPr>
        <w:tabs>
          <w:tab w:val="num" w:pos="6696"/>
        </w:tabs>
        <w:ind w:left="6696" w:hanging="360"/>
      </w:pPr>
    </w:lvl>
    <w:lvl w:ilvl="8" w:tentative="1">
      <w:start w:val="1"/>
      <w:numFmt w:val="decimal"/>
      <w:lvlText w:val="%9."/>
      <w:lvlJc w:val="left"/>
      <w:pPr>
        <w:tabs>
          <w:tab w:val="num" w:pos="7416"/>
        </w:tabs>
        <w:ind w:left="7416" w:hanging="360"/>
      </w:pPr>
    </w:lvl>
  </w:abstractNum>
  <w:abstractNum w:abstractNumId="1">
    <w:nsid w:val="05F705B5"/>
    <w:multiLevelType w:val="hybridMultilevel"/>
    <w:tmpl w:val="54F6F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5B1591"/>
    <w:multiLevelType w:val="hybridMultilevel"/>
    <w:tmpl w:val="0C709B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465257"/>
    <w:multiLevelType w:val="hybridMultilevel"/>
    <w:tmpl w:val="13841E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53264D"/>
    <w:multiLevelType w:val="hybridMultilevel"/>
    <w:tmpl w:val="6BFAD71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0B77D9F"/>
    <w:multiLevelType w:val="multilevel"/>
    <w:tmpl w:val="0BC62C90"/>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3874FFA"/>
    <w:multiLevelType w:val="hybridMultilevel"/>
    <w:tmpl w:val="D5CEE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3F853DC"/>
    <w:multiLevelType w:val="multilevel"/>
    <w:tmpl w:val="C22204A4"/>
    <w:lvl w:ilvl="0">
      <w:start w:val="1"/>
      <w:numFmt w:val="decimal"/>
      <w:lvlText w:val="%1."/>
      <w:lvlJc w:val="left"/>
      <w:pPr>
        <w:tabs>
          <w:tab w:val="num" w:pos="1656"/>
        </w:tabs>
        <w:ind w:left="1656" w:hanging="360"/>
      </w:pPr>
    </w:lvl>
    <w:lvl w:ilvl="1">
      <w:start w:val="1"/>
      <w:numFmt w:val="lowerLetter"/>
      <w:lvlText w:val="%2."/>
      <w:lvlJc w:val="left"/>
      <w:pPr>
        <w:tabs>
          <w:tab w:val="num" w:pos="2376"/>
        </w:tabs>
        <w:ind w:left="2376" w:hanging="360"/>
      </w:pPr>
    </w:lvl>
    <w:lvl w:ilvl="2" w:tentative="1">
      <w:start w:val="1"/>
      <w:numFmt w:val="decimal"/>
      <w:lvlText w:val="%3."/>
      <w:lvlJc w:val="left"/>
      <w:pPr>
        <w:tabs>
          <w:tab w:val="num" w:pos="3096"/>
        </w:tabs>
        <w:ind w:left="3096" w:hanging="360"/>
      </w:pPr>
    </w:lvl>
    <w:lvl w:ilvl="3" w:tentative="1">
      <w:start w:val="1"/>
      <w:numFmt w:val="decimal"/>
      <w:lvlText w:val="%4."/>
      <w:lvlJc w:val="left"/>
      <w:pPr>
        <w:tabs>
          <w:tab w:val="num" w:pos="3816"/>
        </w:tabs>
        <w:ind w:left="3816" w:hanging="360"/>
      </w:pPr>
    </w:lvl>
    <w:lvl w:ilvl="4" w:tentative="1">
      <w:start w:val="1"/>
      <w:numFmt w:val="decimal"/>
      <w:lvlText w:val="%5."/>
      <w:lvlJc w:val="left"/>
      <w:pPr>
        <w:tabs>
          <w:tab w:val="num" w:pos="4536"/>
        </w:tabs>
        <w:ind w:left="4536" w:hanging="360"/>
      </w:pPr>
    </w:lvl>
    <w:lvl w:ilvl="5" w:tentative="1">
      <w:start w:val="1"/>
      <w:numFmt w:val="decimal"/>
      <w:lvlText w:val="%6."/>
      <w:lvlJc w:val="left"/>
      <w:pPr>
        <w:tabs>
          <w:tab w:val="num" w:pos="5256"/>
        </w:tabs>
        <w:ind w:left="5256" w:hanging="360"/>
      </w:pPr>
    </w:lvl>
    <w:lvl w:ilvl="6" w:tentative="1">
      <w:start w:val="1"/>
      <w:numFmt w:val="decimal"/>
      <w:lvlText w:val="%7."/>
      <w:lvlJc w:val="left"/>
      <w:pPr>
        <w:tabs>
          <w:tab w:val="num" w:pos="5976"/>
        </w:tabs>
        <w:ind w:left="5976" w:hanging="360"/>
      </w:pPr>
    </w:lvl>
    <w:lvl w:ilvl="7" w:tentative="1">
      <w:start w:val="1"/>
      <w:numFmt w:val="decimal"/>
      <w:lvlText w:val="%8."/>
      <w:lvlJc w:val="left"/>
      <w:pPr>
        <w:tabs>
          <w:tab w:val="num" w:pos="6696"/>
        </w:tabs>
        <w:ind w:left="6696" w:hanging="360"/>
      </w:pPr>
    </w:lvl>
    <w:lvl w:ilvl="8" w:tentative="1">
      <w:start w:val="1"/>
      <w:numFmt w:val="decimal"/>
      <w:lvlText w:val="%9."/>
      <w:lvlJc w:val="left"/>
      <w:pPr>
        <w:tabs>
          <w:tab w:val="num" w:pos="7416"/>
        </w:tabs>
        <w:ind w:left="7416" w:hanging="360"/>
      </w:pPr>
    </w:lvl>
  </w:abstractNum>
  <w:abstractNum w:abstractNumId="8">
    <w:nsid w:val="151D1E57"/>
    <w:multiLevelType w:val="multilevel"/>
    <w:tmpl w:val="4D7C00AC"/>
    <w:lvl w:ilvl="0">
      <w:start w:val="1"/>
      <w:numFmt w:val="decimal"/>
      <w:lvlText w:val="%1."/>
      <w:lvlJc w:val="left"/>
      <w:pPr>
        <w:tabs>
          <w:tab w:val="num" w:pos="1656"/>
        </w:tabs>
        <w:ind w:left="1656" w:hanging="360"/>
      </w:pPr>
    </w:lvl>
    <w:lvl w:ilvl="1">
      <w:start w:val="1"/>
      <w:numFmt w:val="lowerLetter"/>
      <w:lvlText w:val="%2."/>
      <w:lvlJc w:val="left"/>
      <w:pPr>
        <w:tabs>
          <w:tab w:val="num" w:pos="2376"/>
        </w:tabs>
        <w:ind w:left="2376" w:hanging="360"/>
      </w:pPr>
    </w:lvl>
    <w:lvl w:ilvl="2" w:tentative="1">
      <w:start w:val="1"/>
      <w:numFmt w:val="decimal"/>
      <w:lvlText w:val="%3."/>
      <w:lvlJc w:val="left"/>
      <w:pPr>
        <w:tabs>
          <w:tab w:val="num" w:pos="3096"/>
        </w:tabs>
        <w:ind w:left="3096" w:hanging="360"/>
      </w:pPr>
    </w:lvl>
    <w:lvl w:ilvl="3" w:tentative="1">
      <w:start w:val="1"/>
      <w:numFmt w:val="decimal"/>
      <w:lvlText w:val="%4."/>
      <w:lvlJc w:val="left"/>
      <w:pPr>
        <w:tabs>
          <w:tab w:val="num" w:pos="3816"/>
        </w:tabs>
        <w:ind w:left="3816" w:hanging="360"/>
      </w:pPr>
    </w:lvl>
    <w:lvl w:ilvl="4" w:tentative="1">
      <w:start w:val="1"/>
      <w:numFmt w:val="decimal"/>
      <w:lvlText w:val="%5."/>
      <w:lvlJc w:val="left"/>
      <w:pPr>
        <w:tabs>
          <w:tab w:val="num" w:pos="4536"/>
        </w:tabs>
        <w:ind w:left="4536" w:hanging="360"/>
      </w:pPr>
    </w:lvl>
    <w:lvl w:ilvl="5" w:tentative="1">
      <w:start w:val="1"/>
      <w:numFmt w:val="decimal"/>
      <w:lvlText w:val="%6."/>
      <w:lvlJc w:val="left"/>
      <w:pPr>
        <w:tabs>
          <w:tab w:val="num" w:pos="5256"/>
        </w:tabs>
        <w:ind w:left="5256" w:hanging="360"/>
      </w:pPr>
    </w:lvl>
    <w:lvl w:ilvl="6" w:tentative="1">
      <w:start w:val="1"/>
      <w:numFmt w:val="decimal"/>
      <w:lvlText w:val="%7."/>
      <w:lvlJc w:val="left"/>
      <w:pPr>
        <w:tabs>
          <w:tab w:val="num" w:pos="5976"/>
        </w:tabs>
        <w:ind w:left="5976" w:hanging="360"/>
      </w:pPr>
    </w:lvl>
    <w:lvl w:ilvl="7" w:tentative="1">
      <w:start w:val="1"/>
      <w:numFmt w:val="decimal"/>
      <w:lvlText w:val="%8."/>
      <w:lvlJc w:val="left"/>
      <w:pPr>
        <w:tabs>
          <w:tab w:val="num" w:pos="6696"/>
        </w:tabs>
        <w:ind w:left="6696" w:hanging="360"/>
      </w:pPr>
    </w:lvl>
    <w:lvl w:ilvl="8" w:tentative="1">
      <w:start w:val="1"/>
      <w:numFmt w:val="decimal"/>
      <w:lvlText w:val="%9."/>
      <w:lvlJc w:val="left"/>
      <w:pPr>
        <w:tabs>
          <w:tab w:val="num" w:pos="7416"/>
        </w:tabs>
        <w:ind w:left="7416" w:hanging="360"/>
      </w:pPr>
    </w:lvl>
  </w:abstractNum>
  <w:abstractNum w:abstractNumId="9">
    <w:nsid w:val="15F50986"/>
    <w:multiLevelType w:val="hybridMultilevel"/>
    <w:tmpl w:val="9E0E2B92"/>
    <w:lvl w:ilvl="0" w:tplc="BD588D9C">
      <w:start w:val="1"/>
      <w:numFmt w:val="bullet"/>
      <w:pStyle w:val="LFTTablebullet"/>
      <w:lvlText w:val=""/>
      <w:lvlJc w:val="left"/>
      <w:pPr>
        <w:ind w:left="504" w:hanging="360"/>
      </w:pPr>
      <w:rPr>
        <w:rFonts w:ascii="Wingdings" w:hAnsi="Wingdings" w:hint="default"/>
        <w:b w:val="0"/>
        <w:i w:val="0"/>
        <w:color w:val="000000" w:themeColor="text1"/>
        <w:sz w:val="18"/>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0">
    <w:nsid w:val="295009F6"/>
    <w:multiLevelType w:val="hybridMultilevel"/>
    <w:tmpl w:val="A1C69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B11D96"/>
    <w:multiLevelType w:val="hybridMultilevel"/>
    <w:tmpl w:val="F4E4647A"/>
    <w:lvl w:ilvl="0" w:tplc="CD8875EA">
      <w:start w:val="1"/>
      <w:numFmt w:val="bullet"/>
      <w:pStyle w:val="LFTBullet2"/>
      <w:lvlText w:val="-"/>
      <w:lvlJc w:val="left"/>
      <w:pPr>
        <w:ind w:left="936" w:hanging="360"/>
      </w:pPr>
      <w:rPr>
        <w:rFonts w:ascii="Courier New" w:hAnsi="Courier New" w:hint="default"/>
        <w:b w:val="0"/>
        <w:i w:val="0"/>
        <w:color w:val="00539B" w:themeColor="text2"/>
        <w:sz w:val="20"/>
      </w:rPr>
    </w:lvl>
    <w:lvl w:ilvl="1" w:tplc="1B0ACDD8" w:tentative="1">
      <w:start w:val="1"/>
      <w:numFmt w:val="bullet"/>
      <w:lvlText w:val="o"/>
      <w:lvlJc w:val="left"/>
      <w:pPr>
        <w:ind w:left="1440" w:hanging="360"/>
      </w:pPr>
      <w:rPr>
        <w:rFonts w:ascii="Courier New" w:hAnsi="Courier New" w:cs="Courier New" w:hint="default"/>
      </w:rPr>
    </w:lvl>
    <w:lvl w:ilvl="2" w:tplc="6F9AE37E" w:tentative="1">
      <w:start w:val="1"/>
      <w:numFmt w:val="bullet"/>
      <w:lvlText w:val=""/>
      <w:lvlJc w:val="left"/>
      <w:pPr>
        <w:ind w:left="2160" w:hanging="360"/>
      </w:pPr>
      <w:rPr>
        <w:rFonts w:ascii="Wingdings" w:hAnsi="Wingdings" w:hint="default"/>
      </w:rPr>
    </w:lvl>
    <w:lvl w:ilvl="3" w:tplc="14461912" w:tentative="1">
      <w:start w:val="1"/>
      <w:numFmt w:val="bullet"/>
      <w:lvlText w:val=""/>
      <w:lvlJc w:val="left"/>
      <w:pPr>
        <w:ind w:left="2880" w:hanging="360"/>
      </w:pPr>
      <w:rPr>
        <w:rFonts w:ascii="Symbol" w:hAnsi="Symbol" w:hint="default"/>
      </w:rPr>
    </w:lvl>
    <w:lvl w:ilvl="4" w:tplc="364EA260" w:tentative="1">
      <w:start w:val="1"/>
      <w:numFmt w:val="bullet"/>
      <w:lvlText w:val="o"/>
      <w:lvlJc w:val="left"/>
      <w:pPr>
        <w:ind w:left="3600" w:hanging="360"/>
      </w:pPr>
      <w:rPr>
        <w:rFonts w:ascii="Courier New" w:hAnsi="Courier New" w:cs="Courier New" w:hint="default"/>
      </w:rPr>
    </w:lvl>
    <w:lvl w:ilvl="5" w:tplc="A666156C" w:tentative="1">
      <w:start w:val="1"/>
      <w:numFmt w:val="bullet"/>
      <w:lvlText w:val=""/>
      <w:lvlJc w:val="left"/>
      <w:pPr>
        <w:ind w:left="4320" w:hanging="360"/>
      </w:pPr>
      <w:rPr>
        <w:rFonts w:ascii="Wingdings" w:hAnsi="Wingdings" w:hint="default"/>
      </w:rPr>
    </w:lvl>
    <w:lvl w:ilvl="6" w:tplc="3536A9B2" w:tentative="1">
      <w:start w:val="1"/>
      <w:numFmt w:val="bullet"/>
      <w:lvlText w:val=""/>
      <w:lvlJc w:val="left"/>
      <w:pPr>
        <w:ind w:left="5040" w:hanging="360"/>
      </w:pPr>
      <w:rPr>
        <w:rFonts w:ascii="Symbol" w:hAnsi="Symbol" w:hint="default"/>
      </w:rPr>
    </w:lvl>
    <w:lvl w:ilvl="7" w:tplc="8D80F84A" w:tentative="1">
      <w:start w:val="1"/>
      <w:numFmt w:val="bullet"/>
      <w:lvlText w:val="o"/>
      <w:lvlJc w:val="left"/>
      <w:pPr>
        <w:ind w:left="5760" w:hanging="360"/>
      </w:pPr>
      <w:rPr>
        <w:rFonts w:ascii="Courier New" w:hAnsi="Courier New" w:cs="Courier New" w:hint="default"/>
      </w:rPr>
    </w:lvl>
    <w:lvl w:ilvl="8" w:tplc="FB9C421C" w:tentative="1">
      <w:start w:val="1"/>
      <w:numFmt w:val="bullet"/>
      <w:lvlText w:val=""/>
      <w:lvlJc w:val="left"/>
      <w:pPr>
        <w:ind w:left="6480" w:hanging="360"/>
      </w:pPr>
      <w:rPr>
        <w:rFonts w:ascii="Wingdings" w:hAnsi="Wingdings" w:hint="default"/>
      </w:rPr>
    </w:lvl>
  </w:abstractNum>
  <w:abstractNum w:abstractNumId="12">
    <w:nsid w:val="2A6054DA"/>
    <w:multiLevelType w:val="hybridMultilevel"/>
    <w:tmpl w:val="E4A04986"/>
    <w:lvl w:ilvl="0" w:tplc="FD58C4D0">
      <w:start w:val="1"/>
      <w:numFmt w:val="decimal"/>
      <w:pStyle w:val="LFTNumberedList"/>
      <w:lvlText w:val="%1."/>
      <w:lvlJc w:val="left"/>
      <w:pPr>
        <w:ind w:left="936" w:hanging="360"/>
      </w:pPr>
    </w:lvl>
    <w:lvl w:ilvl="1" w:tplc="04090003" w:tentative="1">
      <w:start w:val="1"/>
      <w:numFmt w:val="lowerLetter"/>
      <w:lvlText w:val="%2."/>
      <w:lvlJc w:val="left"/>
      <w:pPr>
        <w:ind w:left="1656" w:hanging="360"/>
      </w:pPr>
    </w:lvl>
    <w:lvl w:ilvl="2" w:tplc="04090005" w:tentative="1">
      <w:start w:val="1"/>
      <w:numFmt w:val="lowerRoman"/>
      <w:lvlText w:val="%3."/>
      <w:lvlJc w:val="right"/>
      <w:pPr>
        <w:ind w:left="2376" w:hanging="180"/>
      </w:pPr>
    </w:lvl>
    <w:lvl w:ilvl="3" w:tplc="04090001" w:tentative="1">
      <w:start w:val="1"/>
      <w:numFmt w:val="decimal"/>
      <w:lvlText w:val="%4."/>
      <w:lvlJc w:val="left"/>
      <w:pPr>
        <w:ind w:left="3096" w:hanging="360"/>
      </w:pPr>
    </w:lvl>
    <w:lvl w:ilvl="4" w:tplc="04090003" w:tentative="1">
      <w:start w:val="1"/>
      <w:numFmt w:val="lowerLetter"/>
      <w:lvlText w:val="%5."/>
      <w:lvlJc w:val="left"/>
      <w:pPr>
        <w:ind w:left="3816" w:hanging="360"/>
      </w:pPr>
    </w:lvl>
    <w:lvl w:ilvl="5" w:tplc="04090005" w:tentative="1">
      <w:start w:val="1"/>
      <w:numFmt w:val="lowerRoman"/>
      <w:lvlText w:val="%6."/>
      <w:lvlJc w:val="right"/>
      <w:pPr>
        <w:ind w:left="4536" w:hanging="180"/>
      </w:pPr>
    </w:lvl>
    <w:lvl w:ilvl="6" w:tplc="04090001" w:tentative="1">
      <w:start w:val="1"/>
      <w:numFmt w:val="decimal"/>
      <w:lvlText w:val="%7."/>
      <w:lvlJc w:val="left"/>
      <w:pPr>
        <w:ind w:left="5256" w:hanging="360"/>
      </w:pPr>
    </w:lvl>
    <w:lvl w:ilvl="7" w:tplc="04090003" w:tentative="1">
      <w:start w:val="1"/>
      <w:numFmt w:val="lowerLetter"/>
      <w:lvlText w:val="%8."/>
      <w:lvlJc w:val="left"/>
      <w:pPr>
        <w:ind w:left="5976" w:hanging="360"/>
      </w:pPr>
    </w:lvl>
    <w:lvl w:ilvl="8" w:tplc="04090005" w:tentative="1">
      <w:start w:val="1"/>
      <w:numFmt w:val="lowerRoman"/>
      <w:lvlText w:val="%9."/>
      <w:lvlJc w:val="right"/>
      <w:pPr>
        <w:ind w:left="6696" w:hanging="180"/>
      </w:pPr>
    </w:lvl>
  </w:abstractNum>
  <w:abstractNum w:abstractNumId="13">
    <w:nsid w:val="2DF557EF"/>
    <w:multiLevelType w:val="multilevel"/>
    <w:tmpl w:val="6F023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7B25CF"/>
    <w:multiLevelType w:val="multilevel"/>
    <w:tmpl w:val="57D26AC0"/>
    <w:lvl w:ilvl="0">
      <w:start w:val="1"/>
      <w:numFmt w:val="bullet"/>
      <w:lvlText w:val=""/>
      <w:lvlJc w:val="left"/>
      <w:pPr>
        <w:tabs>
          <w:tab w:val="num" w:pos="1656"/>
        </w:tabs>
        <w:ind w:left="1656" w:hanging="360"/>
      </w:pPr>
      <w:rPr>
        <w:rFonts w:ascii="Symbol" w:hAnsi="Symbol" w:hint="default"/>
        <w:sz w:val="20"/>
        <w:szCs w:val="20"/>
      </w:rPr>
    </w:lvl>
    <w:lvl w:ilvl="1">
      <w:start w:val="1"/>
      <w:numFmt w:val="lowerLetter"/>
      <w:lvlText w:val="%2."/>
      <w:lvlJc w:val="left"/>
      <w:pPr>
        <w:tabs>
          <w:tab w:val="num" w:pos="2376"/>
        </w:tabs>
        <w:ind w:left="2376" w:hanging="360"/>
      </w:pPr>
    </w:lvl>
    <w:lvl w:ilvl="2">
      <w:start w:val="1"/>
      <w:numFmt w:val="decimal"/>
      <w:lvlText w:val="%3."/>
      <w:lvlJc w:val="left"/>
      <w:pPr>
        <w:tabs>
          <w:tab w:val="num" w:pos="3096"/>
        </w:tabs>
        <w:ind w:left="3096" w:hanging="360"/>
      </w:pPr>
    </w:lvl>
    <w:lvl w:ilvl="3" w:tentative="1">
      <w:start w:val="1"/>
      <w:numFmt w:val="decimal"/>
      <w:lvlText w:val="%4."/>
      <w:lvlJc w:val="left"/>
      <w:pPr>
        <w:tabs>
          <w:tab w:val="num" w:pos="3816"/>
        </w:tabs>
        <w:ind w:left="3816" w:hanging="360"/>
      </w:pPr>
    </w:lvl>
    <w:lvl w:ilvl="4" w:tentative="1">
      <w:start w:val="1"/>
      <w:numFmt w:val="decimal"/>
      <w:lvlText w:val="%5."/>
      <w:lvlJc w:val="left"/>
      <w:pPr>
        <w:tabs>
          <w:tab w:val="num" w:pos="4536"/>
        </w:tabs>
        <w:ind w:left="4536" w:hanging="360"/>
      </w:pPr>
    </w:lvl>
    <w:lvl w:ilvl="5" w:tentative="1">
      <w:start w:val="1"/>
      <w:numFmt w:val="decimal"/>
      <w:lvlText w:val="%6."/>
      <w:lvlJc w:val="left"/>
      <w:pPr>
        <w:tabs>
          <w:tab w:val="num" w:pos="5256"/>
        </w:tabs>
        <w:ind w:left="5256" w:hanging="360"/>
      </w:pPr>
    </w:lvl>
    <w:lvl w:ilvl="6" w:tentative="1">
      <w:start w:val="1"/>
      <w:numFmt w:val="decimal"/>
      <w:lvlText w:val="%7."/>
      <w:lvlJc w:val="left"/>
      <w:pPr>
        <w:tabs>
          <w:tab w:val="num" w:pos="5976"/>
        </w:tabs>
        <w:ind w:left="5976" w:hanging="360"/>
      </w:pPr>
    </w:lvl>
    <w:lvl w:ilvl="7" w:tentative="1">
      <w:start w:val="1"/>
      <w:numFmt w:val="decimal"/>
      <w:lvlText w:val="%8."/>
      <w:lvlJc w:val="left"/>
      <w:pPr>
        <w:tabs>
          <w:tab w:val="num" w:pos="6696"/>
        </w:tabs>
        <w:ind w:left="6696" w:hanging="360"/>
      </w:pPr>
    </w:lvl>
    <w:lvl w:ilvl="8" w:tentative="1">
      <w:start w:val="1"/>
      <w:numFmt w:val="decimal"/>
      <w:lvlText w:val="%9."/>
      <w:lvlJc w:val="left"/>
      <w:pPr>
        <w:tabs>
          <w:tab w:val="num" w:pos="7416"/>
        </w:tabs>
        <w:ind w:left="7416" w:hanging="360"/>
      </w:pPr>
    </w:lvl>
  </w:abstractNum>
  <w:abstractNum w:abstractNumId="15">
    <w:nsid w:val="323F640D"/>
    <w:multiLevelType w:val="multilevel"/>
    <w:tmpl w:val="0B946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45146F"/>
    <w:multiLevelType w:val="hybridMultilevel"/>
    <w:tmpl w:val="35961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863E26"/>
    <w:multiLevelType w:val="hybridMultilevel"/>
    <w:tmpl w:val="97900B90"/>
    <w:lvl w:ilvl="0" w:tplc="1832AA7E">
      <w:start w:val="1"/>
      <w:numFmt w:val="bullet"/>
      <w:pStyle w:val="LFTBullet1"/>
      <w:lvlText w:val=""/>
      <w:lvlJc w:val="left"/>
      <w:pPr>
        <w:ind w:left="576" w:hanging="360"/>
      </w:pPr>
      <w:rPr>
        <w:rFonts w:ascii="Wingdings" w:hAnsi="Wingdings" w:hint="default"/>
        <w:b w:val="0"/>
        <w:i w:val="0"/>
        <w:color w:val="00539B"/>
        <w:sz w:val="20"/>
      </w:rPr>
    </w:lvl>
    <w:lvl w:ilvl="1" w:tplc="345E7540">
      <w:start w:val="1"/>
      <w:numFmt w:val="bullet"/>
      <w:lvlText w:val="o"/>
      <w:lvlJc w:val="left"/>
      <w:pPr>
        <w:ind w:left="1440" w:hanging="360"/>
      </w:pPr>
      <w:rPr>
        <w:rFonts w:ascii="Courier New" w:hAnsi="Courier New" w:cs="Courier New" w:hint="default"/>
      </w:rPr>
    </w:lvl>
    <w:lvl w:ilvl="2" w:tplc="90160D0C" w:tentative="1">
      <w:start w:val="1"/>
      <w:numFmt w:val="bullet"/>
      <w:lvlText w:val=""/>
      <w:lvlJc w:val="left"/>
      <w:pPr>
        <w:ind w:left="2160" w:hanging="360"/>
      </w:pPr>
      <w:rPr>
        <w:rFonts w:ascii="Wingdings" w:hAnsi="Wingdings" w:hint="default"/>
      </w:rPr>
    </w:lvl>
    <w:lvl w:ilvl="3" w:tplc="E2BC022A" w:tentative="1">
      <w:start w:val="1"/>
      <w:numFmt w:val="bullet"/>
      <w:lvlText w:val=""/>
      <w:lvlJc w:val="left"/>
      <w:pPr>
        <w:ind w:left="2880" w:hanging="360"/>
      </w:pPr>
      <w:rPr>
        <w:rFonts w:ascii="Symbol" w:hAnsi="Symbol" w:hint="default"/>
      </w:rPr>
    </w:lvl>
    <w:lvl w:ilvl="4" w:tplc="63A67438" w:tentative="1">
      <w:start w:val="1"/>
      <w:numFmt w:val="bullet"/>
      <w:lvlText w:val="o"/>
      <w:lvlJc w:val="left"/>
      <w:pPr>
        <w:ind w:left="3600" w:hanging="360"/>
      </w:pPr>
      <w:rPr>
        <w:rFonts w:ascii="Courier New" w:hAnsi="Courier New" w:cs="Courier New" w:hint="default"/>
      </w:rPr>
    </w:lvl>
    <w:lvl w:ilvl="5" w:tplc="25687F7C" w:tentative="1">
      <w:start w:val="1"/>
      <w:numFmt w:val="bullet"/>
      <w:lvlText w:val=""/>
      <w:lvlJc w:val="left"/>
      <w:pPr>
        <w:ind w:left="4320" w:hanging="360"/>
      </w:pPr>
      <w:rPr>
        <w:rFonts w:ascii="Wingdings" w:hAnsi="Wingdings" w:hint="default"/>
      </w:rPr>
    </w:lvl>
    <w:lvl w:ilvl="6" w:tplc="50B831F6" w:tentative="1">
      <w:start w:val="1"/>
      <w:numFmt w:val="bullet"/>
      <w:lvlText w:val=""/>
      <w:lvlJc w:val="left"/>
      <w:pPr>
        <w:ind w:left="5040" w:hanging="360"/>
      </w:pPr>
      <w:rPr>
        <w:rFonts w:ascii="Symbol" w:hAnsi="Symbol" w:hint="default"/>
      </w:rPr>
    </w:lvl>
    <w:lvl w:ilvl="7" w:tplc="1846B79E" w:tentative="1">
      <w:start w:val="1"/>
      <w:numFmt w:val="bullet"/>
      <w:lvlText w:val="o"/>
      <w:lvlJc w:val="left"/>
      <w:pPr>
        <w:ind w:left="5760" w:hanging="360"/>
      </w:pPr>
      <w:rPr>
        <w:rFonts w:ascii="Courier New" w:hAnsi="Courier New" w:cs="Courier New" w:hint="default"/>
      </w:rPr>
    </w:lvl>
    <w:lvl w:ilvl="8" w:tplc="A0FC6830" w:tentative="1">
      <w:start w:val="1"/>
      <w:numFmt w:val="bullet"/>
      <w:lvlText w:val=""/>
      <w:lvlJc w:val="left"/>
      <w:pPr>
        <w:ind w:left="6480" w:hanging="360"/>
      </w:pPr>
      <w:rPr>
        <w:rFonts w:ascii="Wingdings" w:hAnsi="Wingdings" w:hint="default"/>
      </w:rPr>
    </w:lvl>
  </w:abstractNum>
  <w:abstractNum w:abstractNumId="18">
    <w:nsid w:val="49162450"/>
    <w:multiLevelType w:val="multilevel"/>
    <w:tmpl w:val="9EDCEF08"/>
    <w:lvl w:ilvl="0">
      <w:start w:val="1"/>
      <w:numFmt w:val="decimal"/>
      <w:lvlText w:val="%1."/>
      <w:lvlJc w:val="left"/>
      <w:pPr>
        <w:tabs>
          <w:tab w:val="num" w:pos="1656"/>
        </w:tabs>
        <w:ind w:left="1656" w:hanging="360"/>
      </w:pPr>
    </w:lvl>
    <w:lvl w:ilvl="1">
      <w:start w:val="1"/>
      <w:numFmt w:val="lowerLetter"/>
      <w:lvlText w:val="%2."/>
      <w:lvlJc w:val="left"/>
      <w:pPr>
        <w:tabs>
          <w:tab w:val="num" w:pos="2376"/>
        </w:tabs>
        <w:ind w:left="2376" w:hanging="360"/>
      </w:pPr>
    </w:lvl>
    <w:lvl w:ilvl="2" w:tentative="1">
      <w:start w:val="1"/>
      <w:numFmt w:val="decimal"/>
      <w:lvlText w:val="%3."/>
      <w:lvlJc w:val="left"/>
      <w:pPr>
        <w:tabs>
          <w:tab w:val="num" w:pos="3096"/>
        </w:tabs>
        <w:ind w:left="3096" w:hanging="360"/>
      </w:pPr>
    </w:lvl>
    <w:lvl w:ilvl="3" w:tentative="1">
      <w:start w:val="1"/>
      <w:numFmt w:val="decimal"/>
      <w:lvlText w:val="%4."/>
      <w:lvlJc w:val="left"/>
      <w:pPr>
        <w:tabs>
          <w:tab w:val="num" w:pos="3816"/>
        </w:tabs>
        <w:ind w:left="3816" w:hanging="360"/>
      </w:pPr>
    </w:lvl>
    <w:lvl w:ilvl="4" w:tentative="1">
      <w:start w:val="1"/>
      <w:numFmt w:val="decimal"/>
      <w:lvlText w:val="%5."/>
      <w:lvlJc w:val="left"/>
      <w:pPr>
        <w:tabs>
          <w:tab w:val="num" w:pos="4536"/>
        </w:tabs>
        <w:ind w:left="4536" w:hanging="360"/>
      </w:pPr>
    </w:lvl>
    <w:lvl w:ilvl="5" w:tentative="1">
      <w:start w:val="1"/>
      <w:numFmt w:val="decimal"/>
      <w:lvlText w:val="%6."/>
      <w:lvlJc w:val="left"/>
      <w:pPr>
        <w:tabs>
          <w:tab w:val="num" w:pos="5256"/>
        </w:tabs>
        <w:ind w:left="5256" w:hanging="360"/>
      </w:pPr>
    </w:lvl>
    <w:lvl w:ilvl="6" w:tentative="1">
      <w:start w:val="1"/>
      <w:numFmt w:val="decimal"/>
      <w:lvlText w:val="%7."/>
      <w:lvlJc w:val="left"/>
      <w:pPr>
        <w:tabs>
          <w:tab w:val="num" w:pos="5976"/>
        </w:tabs>
        <w:ind w:left="5976" w:hanging="360"/>
      </w:pPr>
    </w:lvl>
    <w:lvl w:ilvl="7" w:tentative="1">
      <w:start w:val="1"/>
      <w:numFmt w:val="decimal"/>
      <w:lvlText w:val="%8."/>
      <w:lvlJc w:val="left"/>
      <w:pPr>
        <w:tabs>
          <w:tab w:val="num" w:pos="6696"/>
        </w:tabs>
        <w:ind w:left="6696" w:hanging="360"/>
      </w:pPr>
    </w:lvl>
    <w:lvl w:ilvl="8" w:tentative="1">
      <w:start w:val="1"/>
      <w:numFmt w:val="decimal"/>
      <w:lvlText w:val="%9."/>
      <w:lvlJc w:val="left"/>
      <w:pPr>
        <w:tabs>
          <w:tab w:val="num" w:pos="7416"/>
        </w:tabs>
        <w:ind w:left="7416" w:hanging="360"/>
      </w:pPr>
    </w:lvl>
  </w:abstractNum>
  <w:abstractNum w:abstractNumId="19">
    <w:nsid w:val="4A991400"/>
    <w:multiLevelType w:val="multilevel"/>
    <w:tmpl w:val="DC0686CE"/>
    <w:lvl w:ilvl="0">
      <w:start w:val="1"/>
      <w:numFmt w:val="decimal"/>
      <w:lvlText w:val="%1."/>
      <w:lvlJc w:val="left"/>
      <w:pPr>
        <w:tabs>
          <w:tab w:val="num" w:pos="1656"/>
        </w:tabs>
        <w:ind w:left="1656" w:hanging="360"/>
      </w:pPr>
    </w:lvl>
    <w:lvl w:ilvl="1">
      <w:start w:val="1"/>
      <w:numFmt w:val="lowerLetter"/>
      <w:lvlText w:val="%2."/>
      <w:lvlJc w:val="left"/>
      <w:pPr>
        <w:tabs>
          <w:tab w:val="num" w:pos="2376"/>
        </w:tabs>
        <w:ind w:left="2376" w:hanging="360"/>
      </w:pPr>
    </w:lvl>
    <w:lvl w:ilvl="2" w:tentative="1">
      <w:start w:val="1"/>
      <w:numFmt w:val="decimal"/>
      <w:lvlText w:val="%3."/>
      <w:lvlJc w:val="left"/>
      <w:pPr>
        <w:tabs>
          <w:tab w:val="num" w:pos="3096"/>
        </w:tabs>
        <w:ind w:left="3096" w:hanging="360"/>
      </w:pPr>
    </w:lvl>
    <w:lvl w:ilvl="3" w:tentative="1">
      <w:start w:val="1"/>
      <w:numFmt w:val="decimal"/>
      <w:lvlText w:val="%4."/>
      <w:lvlJc w:val="left"/>
      <w:pPr>
        <w:tabs>
          <w:tab w:val="num" w:pos="3816"/>
        </w:tabs>
        <w:ind w:left="3816" w:hanging="360"/>
      </w:pPr>
    </w:lvl>
    <w:lvl w:ilvl="4" w:tentative="1">
      <w:start w:val="1"/>
      <w:numFmt w:val="decimal"/>
      <w:lvlText w:val="%5."/>
      <w:lvlJc w:val="left"/>
      <w:pPr>
        <w:tabs>
          <w:tab w:val="num" w:pos="4536"/>
        </w:tabs>
        <w:ind w:left="4536" w:hanging="360"/>
      </w:pPr>
    </w:lvl>
    <w:lvl w:ilvl="5" w:tentative="1">
      <w:start w:val="1"/>
      <w:numFmt w:val="decimal"/>
      <w:lvlText w:val="%6."/>
      <w:lvlJc w:val="left"/>
      <w:pPr>
        <w:tabs>
          <w:tab w:val="num" w:pos="5256"/>
        </w:tabs>
        <w:ind w:left="5256" w:hanging="360"/>
      </w:pPr>
    </w:lvl>
    <w:lvl w:ilvl="6" w:tentative="1">
      <w:start w:val="1"/>
      <w:numFmt w:val="decimal"/>
      <w:lvlText w:val="%7."/>
      <w:lvlJc w:val="left"/>
      <w:pPr>
        <w:tabs>
          <w:tab w:val="num" w:pos="5976"/>
        </w:tabs>
        <w:ind w:left="5976" w:hanging="360"/>
      </w:pPr>
    </w:lvl>
    <w:lvl w:ilvl="7" w:tentative="1">
      <w:start w:val="1"/>
      <w:numFmt w:val="decimal"/>
      <w:lvlText w:val="%8."/>
      <w:lvlJc w:val="left"/>
      <w:pPr>
        <w:tabs>
          <w:tab w:val="num" w:pos="6696"/>
        </w:tabs>
        <w:ind w:left="6696" w:hanging="360"/>
      </w:pPr>
    </w:lvl>
    <w:lvl w:ilvl="8" w:tentative="1">
      <w:start w:val="1"/>
      <w:numFmt w:val="decimal"/>
      <w:lvlText w:val="%9."/>
      <w:lvlJc w:val="left"/>
      <w:pPr>
        <w:tabs>
          <w:tab w:val="num" w:pos="7416"/>
        </w:tabs>
        <w:ind w:left="7416" w:hanging="360"/>
      </w:pPr>
    </w:lvl>
  </w:abstractNum>
  <w:abstractNum w:abstractNumId="20">
    <w:nsid w:val="4CD25114"/>
    <w:multiLevelType w:val="hybridMultilevel"/>
    <w:tmpl w:val="73C269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D9467D6"/>
    <w:multiLevelType w:val="multilevel"/>
    <w:tmpl w:val="9B50E7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514E5A9F"/>
    <w:multiLevelType w:val="hybridMultilevel"/>
    <w:tmpl w:val="85D48AB6"/>
    <w:lvl w:ilvl="0" w:tplc="04090019">
      <w:start w:val="1"/>
      <w:numFmt w:val="lowerLetter"/>
      <w:pStyle w:val="LFTMemoHEAD5"/>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513902"/>
    <w:multiLevelType w:val="singleLevel"/>
    <w:tmpl w:val="D8E8FE58"/>
    <w:lvl w:ilvl="0">
      <w:start w:val="1"/>
      <w:numFmt w:val="bullet"/>
      <w:pStyle w:val="LFTMemoBULLET"/>
      <w:lvlText w:val=""/>
      <w:lvlJc w:val="left"/>
      <w:pPr>
        <w:ind w:left="576" w:hanging="360"/>
      </w:pPr>
      <w:rPr>
        <w:rFonts w:ascii="Wingdings" w:hAnsi="Wingdings" w:hint="default"/>
        <w:color w:val="00539B" w:themeColor="text2"/>
        <w:sz w:val="20"/>
      </w:rPr>
    </w:lvl>
  </w:abstractNum>
  <w:abstractNum w:abstractNumId="24">
    <w:nsid w:val="5A3C7462"/>
    <w:multiLevelType w:val="multilevel"/>
    <w:tmpl w:val="0EB6B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9A2332"/>
    <w:multiLevelType w:val="multilevel"/>
    <w:tmpl w:val="E422A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830894"/>
    <w:multiLevelType w:val="hybridMultilevel"/>
    <w:tmpl w:val="E1086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246BEF"/>
    <w:multiLevelType w:val="hybridMultilevel"/>
    <w:tmpl w:val="15AA6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5804F2"/>
    <w:multiLevelType w:val="multilevel"/>
    <w:tmpl w:val="B1127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CA46390"/>
    <w:multiLevelType w:val="hybridMultilevel"/>
    <w:tmpl w:val="8C783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11"/>
  </w:num>
  <w:num w:numId="4">
    <w:abstractNumId w:val="12"/>
  </w:num>
  <w:num w:numId="5">
    <w:abstractNumId w:val="23"/>
  </w:num>
  <w:num w:numId="6">
    <w:abstractNumId w:val="22"/>
  </w:num>
  <w:num w:numId="7">
    <w:abstractNumId w:val="7"/>
  </w:num>
  <w:num w:numId="8">
    <w:abstractNumId w:val="5"/>
  </w:num>
  <w:num w:numId="9">
    <w:abstractNumId w:val="19"/>
  </w:num>
  <w:num w:numId="10">
    <w:abstractNumId w:val="18"/>
  </w:num>
  <w:num w:numId="11">
    <w:abstractNumId w:val="0"/>
  </w:num>
  <w:num w:numId="12">
    <w:abstractNumId w:val="8"/>
  </w:num>
  <w:num w:numId="13">
    <w:abstractNumId w:val="14"/>
  </w:num>
  <w:num w:numId="14">
    <w:abstractNumId w:val="25"/>
  </w:num>
  <w:num w:numId="15">
    <w:abstractNumId w:val="15"/>
  </w:num>
  <w:num w:numId="16">
    <w:abstractNumId w:val="28"/>
  </w:num>
  <w:num w:numId="17">
    <w:abstractNumId w:val="24"/>
  </w:num>
  <w:num w:numId="18">
    <w:abstractNumId w:val="13"/>
  </w:num>
  <w:num w:numId="19">
    <w:abstractNumId w:val="14"/>
  </w:num>
  <w:num w:numId="20">
    <w:abstractNumId w:val="20"/>
  </w:num>
  <w:num w:numId="21">
    <w:abstractNumId w:val="3"/>
  </w:num>
  <w:num w:numId="22">
    <w:abstractNumId w:val="4"/>
  </w:num>
  <w:num w:numId="23">
    <w:abstractNumId w:val="6"/>
  </w:num>
  <w:num w:numId="24">
    <w:abstractNumId w:val="2"/>
  </w:num>
  <w:num w:numId="25">
    <w:abstractNumId w:val="16"/>
  </w:num>
  <w:num w:numId="26">
    <w:abstractNumId w:val="27"/>
  </w:num>
  <w:num w:numId="27">
    <w:abstractNumId w:val="1"/>
  </w:num>
  <w:num w:numId="28">
    <w:abstractNumId w:val="10"/>
  </w:num>
  <w:num w:numId="29">
    <w:abstractNumId w:val="26"/>
  </w:num>
  <w:num w:numId="30">
    <w:abstractNumId w:val="21"/>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C34"/>
    <w:rsid w:val="00002261"/>
    <w:rsid w:val="000030DF"/>
    <w:rsid w:val="000047BB"/>
    <w:rsid w:val="00005344"/>
    <w:rsid w:val="00005BEB"/>
    <w:rsid w:val="000144C4"/>
    <w:rsid w:val="0001450A"/>
    <w:rsid w:val="0002103B"/>
    <w:rsid w:val="000306DB"/>
    <w:rsid w:val="00031C60"/>
    <w:rsid w:val="00041D97"/>
    <w:rsid w:val="00043BAC"/>
    <w:rsid w:val="00045D1E"/>
    <w:rsid w:val="00054BA0"/>
    <w:rsid w:val="0005565C"/>
    <w:rsid w:val="0005723F"/>
    <w:rsid w:val="000610C8"/>
    <w:rsid w:val="000650B5"/>
    <w:rsid w:val="00067182"/>
    <w:rsid w:val="00070A48"/>
    <w:rsid w:val="00070F75"/>
    <w:rsid w:val="000902BF"/>
    <w:rsid w:val="00090BAB"/>
    <w:rsid w:val="00095A0A"/>
    <w:rsid w:val="00096B45"/>
    <w:rsid w:val="00096CCE"/>
    <w:rsid w:val="000A1A17"/>
    <w:rsid w:val="000A1BD0"/>
    <w:rsid w:val="000A1D49"/>
    <w:rsid w:val="000A2545"/>
    <w:rsid w:val="000A2FCC"/>
    <w:rsid w:val="000B35C7"/>
    <w:rsid w:val="000B3956"/>
    <w:rsid w:val="000B3EEE"/>
    <w:rsid w:val="000B453F"/>
    <w:rsid w:val="000B6C27"/>
    <w:rsid w:val="000B7FD7"/>
    <w:rsid w:val="000C5001"/>
    <w:rsid w:val="000D0D41"/>
    <w:rsid w:val="000D6087"/>
    <w:rsid w:val="000E2812"/>
    <w:rsid w:val="000F20FC"/>
    <w:rsid w:val="000F2C72"/>
    <w:rsid w:val="000F32A6"/>
    <w:rsid w:val="000F572C"/>
    <w:rsid w:val="001011A2"/>
    <w:rsid w:val="00103FC7"/>
    <w:rsid w:val="0011246C"/>
    <w:rsid w:val="001127FD"/>
    <w:rsid w:val="001145E6"/>
    <w:rsid w:val="00115568"/>
    <w:rsid w:val="0011658E"/>
    <w:rsid w:val="0012107D"/>
    <w:rsid w:val="0012767F"/>
    <w:rsid w:val="00130997"/>
    <w:rsid w:val="001338E2"/>
    <w:rsid w:val="001339F5"/>
    <w:rsid w:val="00133A14"/>
    <w:rsid w:val="00133A26"/>
    <w:rsid w:val="0013580D"/>
    <w:rsid w:val="00137418"/>
    <w:rsid w:val="00143357"/>
    <w:rsid w:val="00146D95"/>
    <w:rsid w:val="00152099"/>
    <w:rsid w:val="0015276C"/>
    <w:rsid w:val="00153E62"/>
    <w:rsid w:val="00154139"/>
    <w:rsid w:val="00156B95"/>
    <w:rsid w:val="00160C3B"/>
    <w:rsid w:val="00163BEC"/>
    <w:rsid w:val="001648AC"/>
    <w:rsid w:val="00166119"/>
    <w:rsid w:val="00171FFA"/>
    <w:rsid w:val="001731AA"/>
    <w:rsid w:val="001738AD"/>
    <w:rsid w:val="00174D14"/>
    <w:rsid w:val="00175054"/>
    <w:rsid w:val="00177F6F"/>
    <w:rsid w:val="0018453C"/>
    <w:rsid w:val="00184C00"/>
    <w:rsid w:val="0018646A"/>
    <w:rsid w:val="00186703"/>
    <w:rsid w:val="00191312"/>
    <w:rsid w:val="001956A7"/>
    <w:rsid w:val="001A0B2D"/>
    <w:rsid w:val="001A4378"/>
    <w:rsid w:val="001A44E9"/>
    <w:rsid w:val="001B15E5"/>
    <w:rsid w:val="001B2899"/>
    <w:rsid w:val="001B2B56"/>
    <w:rsid w:val="001B2B70"/>
    <w:rsid w:val="001B3EA3"/>
    <w:rsid w:val="001B449C"/>
    <w:rsid w:val="001B597B"/>
    <w:rsid w:val="001B70F8"/>
    <w:rsid w:val="001C04ED"/>
    <w:rsid w:val="001C5922"/>
    <w:rsid w:val="001C7BF3"/>
    <w:rsid w:val="001D33CD"/>
    <w:rsid w:val="001D543E"/>
    <w:rsid w:val="001D6F94"/>
    <w:rsid w:val="001D7AAC"/>
    <w:rsid w:val="001E035D"/>
    <w:rsid w:val="001E24FA"/>
    <w:rsid w:val="001E2AA9"/>
    <w:rsid w:val="001E2FA2"/>
    <w:rsid w:val="001E3550"/>
    <w:rsid w:val="001E3C00"/>
    <w:rsid w:val="001F046A"/>
    <w:rsid w:val="001F5ADE"/>
    <w:rsid w:val="001F69CF"/>
    <w:rsid w:val="002046AE"/>
    <w:rsid w:val="002058A8"/>
    <w:rsid w:val="002063EB"/>
    <w:rsid w:val="00213A09"/>
    <w:rsid w:val="00217E18"/>
    <w:rsid w:val="00221F9D"/>
    <w:rsid w:val="00222892"/>
    <w:rsid w:val="00230FAE"/>
    <w:rsid w:val="00240681"/>
    <w:rsid w:val="00242397"/>
    <w:rsid w:val="002429F0"/>
    <w:rsid w:val="0024475B"/>
    <w:rsid w:val="00246653"/>
    <w:rsid w:val="00247071"/>
    <w:rsid w:val="0024722F"/>
    <w:rsid w:val="002516EC"/>
    <w:rsid w:val="00264D3C"/>
    <w:rsid w:val="00276446"/>
    <w:rsid w:val="00280C5F"/>
    <w:rsid w:val="00280D24"/>
    <w:rsid w:val="00280E9A"/>
    <w:rsid w:val="00281541"/>
    <w:rsid w:val="00285C09"/>
    <w:rsid w:val="00287AE0"/>
    <w:rsid w:val="00291BF8"/>
    <w:rsid w:val="00294840"/>
    <w:rsid w:val="00294D5E"/>
    <w:rsid w:val="00294E6A"/>
    <w:rsid w:val="00295AE8"/>
    <w:rsid w:val="002A0919"/>
    <w:rsid w:val="002A0D00"/>
    <w:rsid w:val="002A1D24"/>
    <w:rsid w:val="002A1D69"/>
    <w:rsid w:val="002A44BB"/>
    <w:rsid w:val="002A4D87"/>
    <w:rsid w:val="002A5DA6"/>
    <w:rsid w:val="002A652B"/>
    <w:rsid w:val="002A6972"/>
    <w:rsid w:val="002A7943"/>
    <w:rsid w:val="002B25DC"/>
    <w:rsid w:val="002B29AA"/>
    <w:rsid w:val="002B2E56"/>
    <w:rsid w:val="002B63DD"/>
    <w:rsid w:val="002C012C"/>
    <w:rsid w:val="002C2282"/>
    <w:rsid w:val="002C27F7"/>
    <w:rsid w:val="002C3E86"/>
    <w:rsid w:val="002C65A9"/>
    <w:rsid w:val="002D0892"/>
    <w:rsid w:val="002D675E"/>
    <w:rsid w:val="002E373B"/>
    <w:rsid w:val="002E3EF1"/>
    <w:rsid w:val="002E5419"/>
    <w:rsid w:val="002E7C38"/>
    <w:rsid w:val="002F0FF7"/>
    <w:rsid w:val="002F2D29"/>
    <w:rsid w:val="00304F4B"/>
    <w:rsid w:val="00315DB0"/>
    <w:rsid w:val="00316E15"/>
    <w:rsid w:val="003170C0"/>
    <w:rsid w:val="00332C87"/>
    <w:rsid w:val="00333018"/>
    <w:rsid w:val="003346DF"/>
    <w:rsid w:val="00346564"/>
    <w:rsid w:val="00347C24"/>
    <w:rsid w:val="00351683"/>
    <w:rsid w:val="003531D4"/>
    <w:rsid w:val="00353C8F"/>
    <w:rsid w:val="00354E82"/>
    <w:rsid w:val="00355C15"/>
    <w:rsid w:val="00355CAE"/>
    <w:rsid w:val="00355FDF"/>
    <w:rsid w:val="0036128B"/>
    <w:rsid w:val="00361D9F"/>
    <w:rsid w:val="003676F3"/>
    <w:rsid w:val="00370B89"/>
    <w:rsid w:val="003718B6"/>
    <w:rsid w:val="0037725F"/>
    <w:rsid w:val="00383310"/>
    <w:rsid w:val="00384B1E"/>
    <w:rsid w:val="00387756"/>
    <w:rsid w:val="0039026A"/>
    <w:rsid w:val="003929DE"/>
    <w:rsid w:val="00392D09"/>
    <w:rsid w:val="003939A0"/>
    <w:rsid w:val="00393A40"/>
    <w:rsid w:val="0039408E"/>
    <w:rsid w:val="003962AF"/>
    <w:rsid w:val="003B10D9"/>
    <w:rsid w:val="003B171A"/>
    <w:rsid w:val="003B1ECD"/>
    <w:rsid w:val="003B3378"/>
    <w:rsid w:val="003C0B87"/>
    <w:rsid w:val="003C31E3"/>
    <w:rsid w:val="003C64EF"/>
    <w:rsid w:val="003D125C"/>
    <w:rsid w:val="003D14D1"/>
    <w:rsid w:val="003E0D44"/>
    <w:rsid w:val="003E0EF4"/>
    <w:rsid w:val="003E18AF"/>
    <w:rsid w:val="003E3007"/>
    <w:rsid w:val="003E6AD9"/>
    <w:rsid w:val="003F2B92"/>
    <w:rsid w:val="003F4AFC"/>
    <w:rsid w:val="003F577A"/>
    <w:rsid w:val="003F755A"/>
    <w:rsid w:val="003F7B49"/>
    <w:rsid w:val="00402DA9"/>
    <w:rsid w:val="004030FF"/>
    <w:rsid w:val="004033BB"/>
    <w:rsid w:val="00407F44"/>
    <w:rsid w:val="004123BD"/>
    <w:rsid w:val="00414A20"/>
    <w:rsid w:val="00415602"/>
    <w:rsid w:val="00415EDB"/>
    <w:rsid w:val="00416307"/>
    <w:rsid w:val="004218EB"/>
    <w:rsid w:val="0042750C"/>
    <w:rsid w:val="00430C49"/>
    <w:rsid w:val="004311A0"/>
    <w:rsid w:val="00432A95"/>
    <w:rsid w:val="00432ED9"/>
    <w:rsid w:val="004344E5"/>
    <w:rsid w:val="00434AD6"/>
    <w:rsid w:val="00436279"/>
    <w:rsid w:val="00437428"/>
    <w:rsid w:val="0044279C"/>
    <w:rsid w:val="004453AF"/>
    <w:rsid w:val="0044574A"/>
    <w:rsid w:val="00447DB3"/>
    <w:rsid w:val="004524E2"/>
    <w:rsid w:val="00457FB9"/>
    <w:rsid w:val="004607DE"/>
    <w:rsid w:val="00462F01"/>
    <w:rsid w:val="0046751E"/>
    <w:rsid w:val="004708C5"/>
    <w:rsid w:val="00474D97"/>
    <w:rsid w:val="00477327"/>
    <w:rsid w:val="0047791A"/>
    <w:rsid w:val="004804C5"/>
    <w:rsid w:val="00480E0B"/>
    <w:rsid w:val="00484038"/>
    <w:rsid w:val="00490175"/>
    <w:rsid w:val="0049029E"/>
    <w:rsid w:val="00494218"/>
    <w:rsid w:val="004959AC"/>
    <w:rsid w:val="0049780B"/>
    <w:rsid w:val="00497ACB"/>
    <w:rsid w:val="004A0E44"/>
    <w:rsid w:val="004A4AC6"/>
    <w:rsid w:val="004A5175"/>
    <w:rsid w:val="004A5207"/>
    <w:rsid w:val="004A69C2"/>
    <w:rsid w:val="004A73A5"/>
    <w:rsid w:val="004A7BB3"/>
    <w:rsid w:val="004B0984"/>
    <w:rsid w:val="004B2859"/>
    <w:rsid w:val="004B6596"/>
    <w:rsid w:val="004D074B"/>
    <w:rsid w:val="004D0DC6"/>
    <w:rsid w:val="004D188C"/>
    <w:rsid w:val="004D343C"/>
    <w:rsid w:val="004D3CF3"/>
    <w:rsid w:val="004E0500"/>
    <w:rsid w:val="004E4F80"/>
    <w:rsid w:val="004E646C"/>
    <w:rsid w:val="004F0CF7"/>
    <w:rsid w:val="004F5E56"/>
    <w:rsid w:val="004F653E"/>
    <w:rsid w:val="004F6902"/>
    <w:rsid w:val="004F7A49"/>
    <w:rsid w:val="00500A3D"/>
    <w:rsid w:val="005011AA"/>
    <w:rsid w:val="005013A9"/>
    <w:rsid w:val="00502004"/>
    <w:rsid w:val="00505798"/>
    <w:rsid w:val="00505A8F"/>
    <w:rsid w:val="00506DA2"/>
    <w:rsid w:val="0050751D"/>
    <w:rsid w:val="0051132C"/>
    <w:rsid w:val="0051183D"/>
    <w:rsid w:val="00513BC0"/>
    <w:rsid w:val="00522036"/>
    <w:rsid w:val="00522F6C"/>
    <w:rsid w:val="00523956"/>
    <w:rsid w:val="00526820"/>
    <w:rsid w:val="00527EF8"/>
    <w:rsid w:val="005314FA"/>
    <w:rsid w:val="00532069"/>
    <w:rsid w:val="00535B0B"/>
    <w:rsid w:val="005360D0"/>
    <w:rsid w:val="0053622E"/>
    <w:rsid w:val="0053750F"/>
    <w:rsid w:val="00541F65"/>
    <w:rsid w:val="005478A3"/>
    <w:rsid w:val="00547F07"/>
    <w:rsid w:val="005511FB"/>
    <w:rsid w:val="00551AF9"/>
    <w:rsid w:val="00552932"/>
    <w:rsid w:val="00553B58"/>
    <w:rsid w:val="00560D1A"/>
    <w:rsid w:val="005610ED"/>
    <w:rsid w:val="00563422"/>
    <w:rsid w:val="00567438"/>
    <w:rsid w:val="005726AB"/>
    <w:rsid w:val="005851AC"/>
    <w:rsid w:val="00587DC6"/>
    <w:rsid w:val="005944B4"/>
    <w:rsid w:val="005A634E"/>
    <w:rsid w:val="005A63AE"/>
    <w:rsid w:val="005B7332"/>
    <w:rsid w:val="005C0F14"/>
    <w:rsid w:val="005C1CEB"/>
    <w:rsid w:val="005C35F5"/>
    <w:rsid w:val="005C501A"/>
    <w:rsid w:val="005C5AF9"/>
    <w:rsid w:val="005C7D54"/>
    <w:rsid w:val="005D4B4F"/>
    <w:rsid w:val="005E28BA"/>
    <w:rsid w:val="005E4717"/>
    <w:rsid w:val="005E6EA3"/>
    <w:rsid w:val="005F028B"/>
    <w:rsid w:val="005F0FC8"/>
    <w:rsid w:val="005F197D"/>
    <w:rsid w:val="005F4FFE"/>
    <w:rsid w:val="00602CCB"/>
    <w:rsid w:val="006036B5"/>
    <w:rsid w:val="006050C5"/>
    <w:rsid w:val="00605E97"/>
    <w:rsid w:val="00607F35"/>
    <w:rsid w:val="006106DF"/>
    <w:rsid w:val="006120A4"/>
    <w:rsid w:val="00612620"/>
    <w:rsid w:val="00612782"/>
    <w:rsid w:val="00612EB8"/>
    <w:rsid w:val="00614066"/>
    <w:rsid w:val="00614DD2"/>
    <w:rsid w:val="00616DF7"/>
    <w:rsid w:val="006177C0"/>
    <w:rsid w:val="006234DF"/>
    <w:rsid w:val="006335B2"/>
    <w:rsid w:val="00634871"/>
    <w:rsid w:val="006377C4"/>
    <w:rsid w:val="00646F54"/>
    <w:rsid w:val="00651EFF"/>
    <w:rsid w:val="00654D15"/>
    <w:rsid w:val="00665A1A"/>
    <w:rsid w:val="00666C0B"/>
    <w:rsid w:val="00667BD1"/>
    <w:rsid w:val="00673B82"/>
    <w:rsid w:val="00673F80"/>
    <w:rsid w:val="00677915"/>
    <w:rsid w:val="00681ECA"/>
    <w:rsid w:val="00684420"/>
    <w:rsid w:val="00687C38"/>
    <w:rsid w:val="00690450"/>
    <w:rsid w:val="00690A41"/>
    <w:rsid w:val="00691B80"/>
    <w:rsid w:val="0069562D"/>
    <w:rsid w:val="00696270"/>
    <w:rsid w:val="006A0647"/>
    <w:rsid w:val="006A361C"/>
    <w:rsid w:val="006A3D0F"/>
    <w:rsid w:val="006A66D4"/>
    <w:rsid w:val="006B0079"/>
    <w:rsid w:val="006B1A7A"/>
    <w:rsid w:val="006B1CD9"/>
    <w:rsid w:val="006B2E0A"/>
    <w:rsid w:val="006B4887"/>
    <w:rsid w:val="006B6E15"/>
    <w:rsid w:val="006C0A91"/>
    <w:rsid w:val="006D0244"/>
    <w:rsid w:val="006D04B9"/>
    <w:rsid w:val="006D27DB"/>
    <w:rsid w:val="006D36EC"/>
    <w:rsid w:val="006D7084"/>
    <w:rsid w:val="006E23EA"/>
    <w:rsid w:val="006E27D8"/>
    <w:rsid w:val="006E57E1"/>
    <w:rsid w:val="006F084B"/>
    <w:rsid w:val="006F1277"/>
    <w:rsid w:val="006F2F96"/>
    <w:rsid w:val="006F4324"/>
    <w:rsid w:val="006F4707"/>
    <w:rsid w:val="006F52BB"/>
    <w:rsid w:val="006F6067"/>
    <w:rsid w:val="006F6801"/>
    <w:rsid w:val="0070665A"/>
    <w:rsid w:val="00706B72"/>
    <w:rsid w:val="00707F38"/>
    <w:rsid w:val="007141DD"/>
    <w:rsid w:val="00714C6A"/>
    <w:rsid w:val="00720135"/>
    <w:rsid w:val="00723224"/>
    <w:rsid w:val="00723C38"/>
    <w:rsid w:val="00723F13"/>
    <w:rsid w:val="00725151"/>
    <w:rsid w:val="007308F1"/>
    <w:rsid w:val="0073336F"/>
    <w:rsid w:val="00735814"/>
    <w:rsid w:val="0074022E"/>
    <w:rsid w:val="00741499"/>
    <w:rsid w:val="00745F83"/>
    <w:rsid w:val="00746869"/>
    <w:rsid w:val="00747422"/>
    <w:rsid w:val="007519F5"/>
    <w:rsid w:val="007546B4"/>
    <w:rsid w:val="00756EB9"/>
    <w:rsid w:val="00766A74"/>
    <w:rsid w:val="00770ED2"/>
    <w:rsid w:val="00771DA0"/>
    <w:rsid w:val="0077407F"/>
    <w:rsid w:val="00780CA9"/>
    <w:rsid w:val="007836CE"/>
    <w:rsid w:val="0078534A"/>
    <w:rsid w:val="00787354"/>
    <w:rsid w:val="0079008F"/>
    <w:rsid w:val="0079063B"/>
    <w:rsid w:val="00790DCA"/>
    <w:rsid w:val="00794CF2"/>
    <w:rsid w:val="00796E3B"/>
    <w:rsid w:val="007A27AE"/>
    <w:rsid w:val="007A4A50"/>
    <w:rsid w:val="007A51C9"/>
    <w:rsid w:val="007A5BB2"/>
    <w:rsid w:val="007A7190"/>
    <w:rsid w:val="007B08F9"/>
    <w:rsid w:val="007B1C3B"/>
    <w:rsid w:val="007B32F3"/>
    <w:rsid w:val="007B413F"/>
    <w:rsid w:val="007B5D5A"/>
    <w:rsid w:val="007B7C9C"/>
    <w:rsid w:val="007C0B8C"/>
    <w:rsid w:val="007C726B"/>
    <w:rsid w:val="007C7AE4"/>
    <w:rsid w:val="007D02C3"/>
    <w:rsid w:val="007D1D36"/>
    <w:rsid w:val="007D1E6F"/>
    <w:rsid w:val="007D4042"/>
    <w:rsid w:val="007D7BD8"/>
    <w:rsid w:val="007E0DF9"/>
    <w:rsid w:val="007E11F8"/>
    <w:rsid w:val="007E2F1D"/>
    <w:rsid w:val="007E2FE1"/>
    <w:rsid w:val="007E462E"/>
    <w:rsid w:val="007E4CD2"/>
    <w:rsid w:val="007F0C75"/>
    <w:rsid w:val="007F1745"/>
    <w:rsid w:val="007F45A3"/>
    <w:rsid w:val="0080037A"/>
    <w:rsid w:val="0080275B"/>
    <w:rsid w:val="0080587A"/>
    <w:rsid w:val="0081008F"/>
    <w:rsid w:val="00827C12"/>
    <w:rsid w:val="00827FC9"/>
    <w:rsid w:val="0083062B"/>
    <w:rsid w:val="008318A0"/>
    <w:rsid w:val="0083392C"/>
    <w:rsid w:val="0083589E"/>
    <w:rsid w:val="0083626E"/>
    <w:rsid w:val="00843A47"/>
    <w:rsid w:val="008447C1"/>
    <w:rsid w:val="00850F73"/>
    <w:rsid w:val="008544C0"/>
    <w:rsid w:val="00855DFB"/>
    <w:rsid w:val="00856ABA"/>
    <w:rsid w:val="0085707D"/>
    <w:rsid w:val="00860A26"/>
    <w:rsid w:val="008611C2"/>
    <w:rsid w:val="00863E0A"/>
    <w:rsid w:val="0086418B"/>
    <w:rsid w:val="00864755"/>
    <w:rsid w:val="008652BB"/>
    <w:rsid w:val="008743E2"/>
    <w:rsid w:val="00874955"/>
    <w:rsid w:val="00876A4E"/>
    <w:rsid w:val="00876BB8"/>
    <w:rsid w:val="008875B4"/>
    <w:rsid w:val="00893496"/>
    <w:rsid w:val="0089608C"/>
    <w:rsid w:val="00896BC5"/>
    <w:rsid w:val="008A0B6F"/>
    <w:rsid w:val="008A4092"/>
    <w:rsid w:val="008A5B0A"/>
    <w:rsid w:val="008A770F"/>
    <w:rsid w:val="008B2253"/>
    <w:rsid w:val="008B7272"/>
    <w:rsid w:val="008C0687"/>
    <w:rsid w:val="008C0B46"/>
    <w:rsid w:val="008C1C93"/>
    <w:rsid w:val="008C44EE"/>
    <w:rsid w:val="008C5842"/>
    <w:rsid w:val="008C6077"/>
    <w:rsid w:val="008D0116"/>
    <w:rsid w:val="008D3423"/>
    <w:rsid w:val="008D6E1C"/>
    <w:rsid w:val="008E144A"/>
    <w:rsid w:val="008E1F0C"/>
    <w:rsid w:val="008F0E18"/>
    <w:rsid w:val="008F390F"/>
    <w:rsid w:val="008F3EBF"/>
    <w:rsid w:val="008F6A20"/>
    <w:rsid w:val="009022CB"/>
    <w:rsid w:val="009031D1"/>
    <w:rsid w:val="0090412B"/>
    <w:rsid w:val="009064B4"/>
    <w:rsid w:val="009075A3"/>
    <w:rsid w:val="00910B27"/>
    <w:rsid w:val="00911D2B"/>
    <w:rsid w:val="00916A15"/>
    <w:rsid w:val="00921353"/>
    <w:rsid w:val="00921A3F"/>
    <w:rsid w:val="00922700"/>
    <w:rsid w:val="009250A9"/>
    <w:rsid w:val="009255D8"/>
    <w:rsid w:val="009255E0"/>
    <w:rsid w:val="00925B06"/>
    <w:rsid w:val="00926527"/>
    <w:rsid w:val="009278EA"/>
    <w:rsid w:val="00927C04"/>
    <w:rsid w:val="00927FD0"/>
    <w:rsid w:val="00930277"/>
    <w:rsid w:val="0093351E"/>
    <w:rsid w:val="00945D13"/>
    <w:rsid w:val="00947155"/>
    <w:rsid w:val="00951E0E"/>
    <w:rsid w:val="00953A9C"/>
    <w:rsid w:val="00953E59"/>
    <w:rsid w:val="0095403D"/>
    <w:rsid w:val="00956343"/>
    <w:rsid w:val="009569A0"/>
    <w:rsid w:val="0097029B"/>
    <w:rsid w:val="00972240"/>
    <w:rsid w:val="009731CF"/>
    <w:rsid w:val="00977F00"/>
    <w:rsid w:val="00980272"/>
    <w:rsid w:val="00983F86"/>
    <w:rsid w:val="00993C65"/>
    <w:rsid w:val="009A278D"/>
    <w:rsid w:val="009A3121"/>
    <w:rsid w:val="009A3B3B"/>
    <w:rsid w:val="009A6373"/>
    <w:rsid w:val="009B3C68"/>
    <w:rsid w:val="009C01A5"/>
    <w:rsid w:val="009C132F"/>
    <w:rsid w:val="009C233F"/>
    <w:rsid w:val="009C6EC6"/>
    <w:rsid w:val="009C7BED"/>
    <w:rsid w:val="009D10BC"/>
    <w:rsid w:val="009D29C5"/>
    <w:rsid w:val="009D41A2"/>
    <w:rsid w:val="009E160C"/>
    <w:rsid w:val="009E340F"/>
    <w:rsid w:val="009E3BDD"/>
    <w:rsid w:val="009E4C03"/>
    <w:rsid w:val="009F3463"/>
    <w:rsid w:val="009F3EDF"/>
    <w:rsid w:val="009F692D"/>
    <w:rsid w:val="00A02A1F"/>
    <w:rsid w:val="00A10514"/>
    <w:rsid w:val="00A174DC"/>
    <w:rsid w:val="00A20724"/>
    <w:rsid w:val="00A26329"/>
    <w:rsid w:val="00A272FD"/>
    <w:rsid w:val="00A3137D"/>
    <w:rsid w:val="00A31722"/>
    <w:rsid w:val="00A3722B"/>
    <w:rsid w:val="00A44520"/>
    <w:rsid w:val="00A47ABE"/>
    <w:rsid w:val="00A52D85"/>
    <w:rsid w:val="00A5777F"/>
    <w:rsid w:val="00A6081B"/>
    <w:rsid w:val="00A66BAF"/>
    <w:rsid w:val="00A66E7D"/>
    <w:rsid w:val="00A716FC"/>
    <w:rsid w:val="00A809F5"/>
    <w:rsid w:val="00A81AB1"/>
    <w:rsid w:val="00A822C8"/>
    <w:rsid w:val="00A90669"/>
    <w:rsid w:val="00A921F4"/>
    <w:rsid w:val="00AA5C05"/>
    <w:rsid w:val="00AA5DFB"/>
    <w:rsid w:val="00AB04CC"/>
    <w:rsid w:val="00AB2865"/>
    <w:rsid w:val="00AC10DD"/>
    <w:rsid w:val="00AC1172"/>
    <w:rsid w:val="00AC1B57"/>
    <w:rsid w:val="00AC5C29"/>
    <w:rsid w:val="00AD5E67"/>
    <w:rsid w:val="00AE4902"/>
    <w:rsid w:val="00AF0C02"/>
    <w:rsid w:val="00AF16CF"/>
    <w:rsid w:val="00AF22E0"/>
    <w:rsid w:val="00AF4F63"/>
    <w:rsid w:val="00AF533C"/>
    <w:rsid w:val="00B02B07"/>
    <w:rsid w:val="00B02CAA"/>
    <w:rsid w:val="00B02F2A"/>
    <w:rsid w:val="00B03702"/>
    <w:rsid w:val="00B03860"/>
    <w:rsid w:val="00B0495B"/>
    <w:rsid w:val="00B11EFB"/>
    <w:rsid w:val="00B12459"/>
    <w:rsid w:val="00B17C23"/>
    <w:rsid w:val="00B209BC"/>
    <w:rsid w:val="00B2113F"/>
    <w:rsid w:val="00B22D6F"/>
    <w:rsid w:val="00B26137"/>
    <w:rsid w:val="00B262E5"/>
    <w:rsid w:val="00B27E82"/>
    <w:rsid w:val="00B35E5A"/>
    <w:rsid w:val="00B371DB"/>
    <w:rsid w:val="00B3734E"/>
    <w:rsid w:val="00B40B8C"/>
    <w:rsid w:val="00B4198F"/>
    <w:rsid w:val="00B47500"/>
    <w:rsid w:val="00B52136"/>
    <w:rsid w:val="00B52BC0"/>
    <w:rsid w:val="00B53062"/>
    <w:rsid w:val="00B53CB6"/>
    <w:rsid w:val="00B54AE3"/>
    <w:rsid w:val="00B557AC"/>
    <w:rsid w:val="00B56438"/>
    <w:rsid w:val="00B56507"/>
    <w:rsid w:val="00B57DEC"/>
    <w:rsid w:val="00B60CBD"/>
    <w:rsid w:val="00B654AF"/>
    <w:rsid w:val="00B71878"/>
    <w:rsid w:val="00B7694C"/>
    <w:rsid w:val="00B80535"/>
    <w:rsid w:val="00B8324C"/>
    <w:rsid w:val="00B84281"/>
    <w:rsid w:val="00B842F4"/>
    <w:rsid w:val="00B85CD4"/>
    <w:rsid w:val="00B86261"/>
    <w:rsid w:val="00B865F4"/>
    <w:rsid w:val="00B86CAC"/>
    <w:rsid w:val="00B92604"/>
    <w:rsid w:val="00B929B3"/>
    <w:rsid w:val="00B9634E"/>
    <w:rsid w:val="00BA08A8"/>
    <w:rsid w:val="00BA21B3"/>
    <w:rsid w:val="00BA3645"/>
    <w:rsid w:val="00BA4325"/>
    <w:rsid w:val="00BA481D"/>
    <w:rsid w:val="00BB10A9"/>
    <w:rsid w:val="00BB1DA8"/>
    <w:rsid w:val="00BB7E0E"/>
    <w:rsid w:val="00BC081F"/>
    <w:rsid w:val="00BC0963"/>
    <w:rsid w:val="00BC4E77"/>
    <w:rsid w:val="00BC6982"/>
    <w:rsid w:val="00BC7A2F"/>
    <w:rsid w:val="00BD23FC"/>
    <w:rsid w:val="00BD369C"/>
    <w:rsid w:val="00BD3C67"/>
    <w:rsid w:val="00BD3E1F"/>
    <w:rsid w:val="00BE0B9F"/>
    <w:rsid w:val="00BE3992"/>
    <w:rsid w:val="00BF72EB"/>
    <w:rsid w:val="00C1196E"/>
    <w:rsid w:val="00C12CC9"/>
    <w:rsid w:val="00C14C7A"/>
    <w:rsid w:val="00C20760"/>
    <w:rsid w:val="00C21959"/>
    <w:rsid w:val="00C32EDB"/>
    <w:rsid w:val="00C3344A"/>
    <w:rsid w:val="00C33A3C"/>
    <w:rsid w:val="00C340CE"/>
    <w:rsid w:val="00C36862"/>
    <w:rsid w:val="00C43994"/>
    <w:rsid w:val="00C45068"/>
    <w:rsid w:val="00C45E61"/>
    <w:rsid w:val="00C55F6C"/>
    <w:rsid w:val="00C562F0"/>
    <w:rsid w:val="00C56FB5"/>
    <w:rsid w:val="00C57367"/>
    <w:rsid w:val="00C57786"/>
    <w:rsid w:val="00C63D86"/>
    <w:rsid w:val="00C66C31"/>
    <w:rsid w:val="00C66CED"/>
    <w:rsid w:val="00C711D6"/>
    <w:rsid w:val="00C73960"/>
    <w:rsid w:val="00C73F10"/>
    <w:rsid w:val="00C900AD"/>
    <w:rsid w:val="00C90511"/>
    <w:rsid w:val="00C90D8D"/>
    <w:rsid w:val="00C91EA2"/>
    <w:rsid w:val="00C92CCD"/>
    <w:rsid w:val="00C93A1D"/>
    <w:rsid w:val="00C97C48"/>
    <w:rsid w:val="00CA1ED4"/>
    <w:rsid w:val="00CB4658"/>
    <w:rsid w:val="00CC0A60"/>
    <w:rsid w:val="00CC18E4"/>
    <w:rsid w:val="00CC2B9A"/>
    <w:rsid w:val="00CC3C42"/>
    <w:rsid w:val="00CC467D"/>
    <w:rsid w:val="00CC4789"/>
    <w:rsid w:val="00CC57BD"/>
    <w:rsid w:val="00CC710F"/>
    <w:rsid w:val="00CD4862"/>
    <w:rsid w:val="00CD6CD7"/>
    <w:rsid w:val="00CD7B2A"/>
    <w:rsid w:val="00CE0609"/>
    <w:rsid w:val="00CE30BB"/>
    <w:rsid w:val="00CF2CEE"/>
    <w:rsid w:val="00CF413A"/>
    <w:rsid w:val="00CF5FE5"/>
    <w:rsid w:val="00CF6CB1"/>
    <w:rsid w:val="00CF708C"/>
    <w:rsid w:val="00CF7241"/>
    <w:rsid w:val="00D00A1A"/>
    <w:rsid w:val="00D01CDA"/>
    <w:rsid w:val="00D02B38"/>
    <w:rsid w:val="00D02CE9"/>
    <w:rsid w:val="00D040CD"/>
    <w:rsid w:val="00D05802"/>
    <w:rsid w:val="00D22415"/>
    <w:rsid w:val="00D3030E"/>
    <w:rsid w:val="00D307DB"/>
    <w:rsid w:val="00D32B1E"/>
    <w:rsid w:val="00D3416B"/>
    <w:rsid w:val="00D37776"/>
    <w:rsid w:val="00D44DB2"/>
    <w:rsid w:val="00D47554"/>
    <w:rsid w:val="00D54258"/>
    <w:rsid w:val="00D6628E"/>
    <w:rsid w:val="00D67CD9"/>
    <w:rsid w:val="00D67D93"/>
    <w:rsid w:val="00D72080"/>
    <w:rsid w:val="00D73747"/>
    <w:rsid w:val="00D75067"/>
    <w:rsid w:val="00D76651"/>
    <w:rsid w:val="00D808B0"/>
    <w:rsid w:val="00D83D25"/>
    <w:rsid w:val="00D91C6D"/>
    <w:rsid w:val="00D927DC"/>
    <w:rsid w:val="00D94585"/>
    <w:rsid w:val="00D95815"/>
    <w:rsid w:val="00D96E57"/>
    <w:rsid w:val="00DA7665"/>
    <w:rsid w:val="00DB6A8B"/>
    <w:rsid w:val="00DC1C7A"/>
    <w:rsid w:val="00DC39FF"/>
    <w:rsid w:val="00DC579D"/>
    <w:rsid w:val="00DC7F31"/>
    <w:rsid w:val="00DD31EB"/>
    <w:rsid w:val="00DD320A"/>
    <w:rsid w:val="00DD45E8"/>
    <w:rsid w:val="00DD763C"/>
    <w:rsid w:val="00DE1FD8"/>
    <w:rsid w:val="00DE64D0"/>
    <w:rsid w:val="00DF2E02"/>
    <w:rsid w:val="00DF67CA"/>
    <w:rsid w:val="00DF7644"/>
    <w:rsid w:val="00E0009B"/>
    <w:rsid w:val="00E0082D"/>
    <w:rsid w:val="00E01D34"/>
    <w:rsid w:val="00E0268D"/>
    <w:rsid w:val="00E03F67"/>
    <w:rsid w:val="00E045FC"/>
    <w:rsid w:val="00E06FCC"/>
    <w:rsid w:val="00E07CA4"/>
    <w:rsid w:val="00E13213"/>
    <w:rsid w:val="00E154BE"/>
    <w:rsid w:val="00E160EA"/>
    <w:rsid w:val="00E25952"/>
    <w:rsid w:val="00E30C5B"/>
    <w:rsid w:val="00E31127"/>
    <w:rsid w:val="00E33C7B"/>
    <w:rsid w:val="00E46216"/>
    <w:rsid w:val="00E47B02"/>
    <w:rsid w:val="00E54456"/>
    <w:rsid w:val="00E54842"/>
    <w:rsid w:val="00E552F0"/>
    <w:rsid w:val="00E55AA8"/>
    <w:rsid w:val="00E56284"/>
    <w:rsid w:val="00E605EF"/>
    <w:rsid w:val="00E63D62"/>
    <w:rsid w:val="00E6447B"/>
    <w:rsid w:val="00E716DB"/>
    <w:rsid w:val="00E723FD"/>
    <w:rsid w:val="00E73185"/>
    <w:rsid w:val="00E74729"/>
    <w:rsid w:val="00E75431"/>
    <w:rsid w:val="00E76B81"/>
    <w:rsid w:val="00E770D5"/>
    <w:rsid w:val="00E80C3E"/>
    <w:rsid w:val="00E82D1F"/>
    <w:rsid w:val="00E83A1E"/>
    <w:rsid w:val="00E87748"/>
    <w:rsid w:val="00E95472"/>
    <w:rsid w:val="00E9578D"/>
    <w:rsid w:val="00E96305"/>
    <w:rsid w:val="00E96849"/>
    <w:rsid w:val="00E975A8"/>
    <w:rsid w:val="00EA1414"/>
    <w:rsid w:val="00EA1D9F"/>
    <w:rsid w:val="00EA1E9B"/>
    <w:rsid w:val="00EA32A3"/>
    <w:rsid w:val="00EA3E26"/>
    <w:rsid w:val="00EA4A41"/>
    <w:rsid w:val="00EA53AB"/>
    <w:rsid w:val="00EA550F"/>
    <w:rsid w:val="00EA7677"/>
    <w:rsid w:val="00EB04B1"/>
    <w:rsid w:val="00EB46AE"/>
    <w:rsid w:val="00EB7872"/>
    <w:rsid w:val="00EC72CE"/>
    <w:rsid w:val="00EC7739"/>
    <w:rsid w:val="00EC782A"/>
    <w:rsid w:val="00EC7F15"/>
    <w:rsid w:val="00ED0405"/>
    <w:rsid w:val="00ED2EBC"/>
    <w:rsid w:val="00ED65E6"/>
    <w:rsid w:val="00EE20B4"/>
    <w:rsid w:val="00EE2153"/>
    <w:rsid w:val="00EE42B3"/>
    <w:rsid w:val="00EE6C34"/>
    <w:rsid w:val="00EE6D51"/>
    <w:rsid w:val="00EE6FA3"/>
    <w:rsid w:val="00EF1A63"/>
    <w:rsid w:val="00EF6CE5"/>
    <w:rsid w:val="00EF7D0E"/>
    <w:rsid w:val="00F043CC"/>
    <w:rsid w:val="00F04C14"/>
    <w:rsid w:val="00F140FF"/>
    <w:rsid w:val="00F15931"/>
    <w:rsid w:val="00F23DB4"/>
    <w:rsid w:val="00F252C9"/>
    <w:rsid w:val="00F259F9"/>
    <w:rsid w:val="00F27585"/>
    <w:rsid w:val="00F31291"/>
    <w:rsid w:val="00F33743"/>
    <w:rsid w:val="00F368EF"/>
    <w:rsid w:val="00F404C3"/>
    <w:rsid w:val="00F416EE"/>
    <w:rsid w:val="00F4281B"/>
    <w:rsid w:val="00F4496D"/>
    <w:rsid w:val="00F47481"/>
    <w:rsid w:val="00F47691"/>
    <w:rsid w:val="00F53D6B"/>
    <w:rsid w:val="00F57883"/>
    <w:rsid w:val="00F624A8"/>
    <w:rsid w:val="00F65B56"/>
    <w:rsid w:val="00F71BAE"/>
    <w:rsid w:val="00F71D64"/>
    <w:rsid w:val="00F71D9A"/>
    <w:rsid w:val="00F7613C"/>
    <w:rsid w:val="00F826DE"/>
    <w:rsid w:val="00F85AF7"/>
    <w:rsid w:val="00F907FA"/>
    <w:rsid w:val="00F90F6D"/>
    <w:rsid w:val="00F915C5"/>
    <w:rsid w:val="00F94FA6"/>
    <w:rsid w:val="00FA34F3"/>
    <w:rsid w:val="00FA5631"/>
    <w:rsid w:val="00FB11FD"/>
    <w:rsid w:val="00FB3720"/>
    <w:rsid w:val="00FB43F3"/>
    <w:rsid w:val="00FB45E2"/>
    <w:rsid w:val="00FB57A7"/>
    <w:rsid w:val="00FB61BC"/>
    <w:rsid w:val="00FB725A"/>
    <w:rsid w:val="00FC072E"/>
    <w:rsid w:val="00FC2BCB"/>
    <w:rsid w:val="00FC3916"/>
    <w:rsid w:val="00FC4898"/>
    <w:rsid w:val="00FC4EC5"/>
    <w:rsid w:val="00FC551D"/>
    <w:rsid w:val="00FC6AFF"/>
    <w:rsid w:val="00FD1F66"/>
    <w:rsid w:val="00FD484E"/>
    <w:rsid w:val="00FD5F8D"/>
    <w:rsid w:val="00FD758D"/>
    <w:rsid w:val="00FD7BCA"/>
    <w:rsid w:val="00FE7063"/>
    <w:rsid w:val="00FF2775"/>
    <w:rsid w:val="00FF3D50"/>
    <w:rsid w:val="00FF7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D2046"/>
  <w15:docId w15:val="{1B0748F4-DA0C-4E87-B0AD-0FDFC1A94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10" w:unhideWhenUsed="1" w:qFormat="1"/>
    <w:lsdException w:name="heading 4" w:semiHidden="1" w:uiPriority="9" w:unhideWhenUsed="1" w:qFormat="1"/>
    <w:lsdException w:name="heading 5" w:semiHidden="1" w:uiPriority="10"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8B0"/>
    <w:pPr>
      <w:spacing w:line="264" w:lineRule="auto"/>
    </w:pPr>
    <w:rPr>
      <w:sz w:val="20"/>
    </w:rPr>
  </w:style>
  <w:style w:type="paragraph" w:styleId="Heading1">
    <w:name w:val="heading 1"/>
    <w:next w:val="Normal"/>
    <w:link w:val="Heading1Char"/>
    <w:semiHidden/>
    <w:rsid w:val="0012767F"/>
    <w:pPr>
      <w:keepNext/>
      <w:keepLines/>
      <w:spacing w:after="0" w:line="480" w:lineRule="exact"/>
      <w:outlineLvl w:val="0"/>
    </w:pPr>
    <w:rPr>
      <w:rFonts w:ascii="Calibri" w:eastAsiaTheme="majorEastAsia" w:hAnsi="Calibri" w:cstheme="majorBidi"/>
      <w:bCs/>
      <w:color w:val="00539B" w:themeColor="text2"/>
      <w:sz w:val="44"/>
      <w:szCs w:val="28"/>
    </w:rPr>
  </w:style>
  <w:style w:type="paragraph" w:styleId="Heading2">
    <w:name w:val="heading 2"/>
    <w:next w:val="Normal"/>
    <w:link w:val="Heading2Char"/>
    <w:uiPriority w:val="9"/>
    <w:qFormat/>
    <w:rsid w:val="0012767F"/>
    <w:pPr>
      <w:spacing w:after="60" w:line="420" w:lineRule="exact"/>
      <w:outlineLvl w:val="1"/>
    </w:pPr>
    <w:rPr>
      <w:rFonts w:asciiTheme="majorHAnsi" w:eastAsiaTheme="majorEastAsia" w:hAnsiTheme="majorHAnsi" w:cstheme="majorBidi"/>
      <w:bCs/>
      <w:color w:val="00539B" w:themeColor="text2"/>
      <w:sz w:val="38"/>
      <w:szCs w:val="26"/>
    </w:rPr>
  </w:style>
  <w:style w:type="paragraph" w:styleId="Heading3">
    <w:name w:val="heading 3"/>
    <w:next w:val="Normal"/>
    <w:link w:val="Heading3Char"/>
    <w:uiPriority w:val="10"/>
    <w:qFormat/>
    <w:rsid w:val="0012767F"/>
    <w:pPr>
      <w:spacing w:after="120" w:line="320" w:lineRule="exact"/>
      <w:outlineLvl w:val="2"/>
    </w:pPr>
    <w:rPr>
      <w:rFonts w:asciiTheme="majorHAnsi" w:eastAsiaTheme="majorEastAsia" w:hAnsiTheme="majorHAnsi" w:cstheme="majorBidi"/>
      <w:b/>
      <w:bCs/>
      <w:color w:val="0081C6" w:themeColor="background2"/>
      <w:sz w:val="28"/>
      <w:szCs w:val="28"/>
    </w:rPr>
  </w:style>
  <w:style w:type="paragraph" w:styleId="Heading4">
    <w:name w:val="heading 4"/>
    <w:next w:val="Normal"/>
    <w:link w:val="Heading4Char"/>
    <w:uiPriority w:val="9"/>
    <w:semiHidden/>
    <w:qFormat/>
    <w:rsid w:val="0012767F"/>
    <w:pPr>
      <w:keepNext/>
      <w:keepLines/>
      <w:spacing w:after="60" w:line="280" w:lineRule="exact"/>
      <w:outlineLvl w:val="3"/>
    </w:pPr>
    <w:rPr>
      <w:rFonts w:asciiTheme="majorHAnsi" w:eastAsiaTheme="majorEastAsia" w:hAnsiTheme="majorHAnsi" w:cstheme="majorBidi"/>
      <w:b/>
      <w:bCs/>
      <w:iCs/>
      <w:sz w:val="24"/>
    </w:rPr>
  </w:style>
  <w:style w:type="paragraph" w:styleId="Heading5">
    <w:name w:val="heading 5"/>
    <w:next w:val="Normal"/>
    <w:link w:val="Heading5Char"/>
    <w:uiPriority w:val="10"/>
    <w:semiHidden/>
    <w:rsid w:val="0012767F"/>
    <w:pPr>
      <w:spacing w:after="60" w:line="270" w:lineRule="exact"/>
      <w:outlineLvl w:val="4"/>
    </w:pPr>
    <w:rPr>
      <w:rFonts w:asciiTheme="majorHAnsi" w:eastAsia="Calibri" w:hAnsiTheme="majorHAnsi" w:cs="Times New Roman"/>
      <w:bCs/>
      <w:i/>
      <w:iCs/>
      <w:color w:val="000000" w:themeColor="text1"/>
      <w:sz w:val="20"/>
    </w:rPr>
  </w:style>
  <w:style w:type="paragraph" w:styleId="Heading6">
    <w:name w:val="heading 6"/>
    <w:basedOn w:val="Normal"/>
    <w:next w:val="Normal"/>
    <w:link w:val="Heading6Char"/>
    <w:uiPriority w:val="9"/>
    <w:semiHidden/>
    <w:qFormat/>
    <w:rsid w:val="006D27DB"/>
    <w:pPr>
      <w:keepNext/>
      <w:keepLines/>
      <w:spacing w:before="200" w:after="0"/>
      <w:outlineLvl w:val="5"/>
    </w:pPr>
    <w:rPr>
      <w:rFonts w:asciiTheme="majorHAnsi" w:eastAsiaTheme="majorEastAsia" w:hAnsiTheme="majorHAnsi" w:cstheme="majorBidi"/>
      <w:i/>
      <w:iCs/>
      <w:color w:val="585D0F" w:themeColor="accent1" w:themeShade="7F"/>
    </w:rPr>
  </w:style>
  <w:style w:type="paragraph" w:styleId="Heading7">
    <w:name w:val="heading 7"/>
    <w:basedOn w:val="Normal"/>
    <w:next w:val="Normal"/>
    <w:link w:val="Heading7Char"/>
    <w:uiPriority w:val="9"/>
    <w:semiHidden/>
    <w:qFormat/>
    <w:rsid w:val="006D27D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6D27DB"/>
    <w:pPr>
      <w:keepNext/>
      <w:keepLines/>
      <w:spacing w:before="200" w:after="0"/>
      <w:outlineLvl w:val="7"/>
    </w:pPr>
    <w:rPr>
      <w:rFonts w:asciiTheme="majorHAnsi" w:eastAsiaTheme="majorEastAsia" w:hAnsiTheme="majorHAnsi" w:cstheme="majorBidi"/>
      <w:color w:val="B2BB1E" w:themeColor="accent1"/>
      <w:szCs w:val="20"/>
    </w:rPr>
  </w:style>
  <w:style w:type="paragraph" w:styleId="Heading9">
    <w:name w:val="heading 9"/>
    <w:basedOn w:val="Normal"/>
    <w:next w:val="Normal"/>
    <w:link w:val="Heading9Char"/>
    <w:uiPriority w:val="9"/>
    <w:semiHidden/>
    <w:qFormat/>
    <w:rsid w:val="006D27DB"/>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0"/>
    <w:semiHidden/>
    <w:rsid w:val="00D808B0"/>
    <w:rPr>
      <w:rFonts w:ascii="Calibri" w:eastAsiaTheme="majorEastAsia" w:hAnsi="Calibri" w:cstheme="majorBidi"/>
      <w:bCs/>
      <w:color w:val="00539B" w:themeColor="text2"/>
      <w:sz w:val="44"/>
      <w:szCs w:val="28"/>
    </w:rPr>
  </w:style>
  <w:style w:type="character" w:customStyle="1" w:styleId="Heading2Char">
    <w:name w:val="Heading 2 Char"/>
    <w:basedOn w:val="DefaultParagraphFont"/>
    <w:link w:val="Heading2"/>
    <w:uiPriority w:val="9"/>
    <w:rsid w:val="00D808B0"/>
    <w:rPr>
      <w:rFonts w:asciiTheme="majorHAnsi" w:eastAsiaTheme="majorEastAsia" w:hAnsiTheme="majorHAnsi" w:cstheme="majorBidi"/>
      <w:bCs/>
      <w:color w:val="00539B" w:themeColor="text2"/>
      <w:sz w:val="38"/>
      <w:szCs w:val="26"/>
    </w:rPr>
  </w:style>
  <w:style w:type="character" w:customStyle="1" w:styleId="Heading3Char">
    <w:name w:val="Heading 3 Char"/>
    <w:basedOn w:val="DefaultParagraphFont"/>
    <w:link w:val="Heading3"/>
    <w:uiPriority w:val="10"/>
    <w:rsid w:val="00D808B0"/>
    <w:rPr>
      <w:rFonts w:asciiTheme="majorHAnsi" w:eastAsiaTheme="majorEastAsia" w:hAnsiTheme="majorHAnsi" w:cstheme="majorBidi"/>
      <w:b/>
      <w:bCs/>
      <w:color w:val="0081C6" w:themeColor="background2"/>
      <w:sz w:val="28"/>
      <w:szCs w:val="28"/>
    </w:rPr>
  </w:style>
  <w:style w:type="character" w:customStyle="1" w:styleId="Heading4Char">
    <w:name w:val="Heading 4 Char"/>
    <w:basedOn w:val="DefaultParagraphFont"/>
    <w:link w:val="Heading4"/>
    <w:uiPriority w:val="9"/>
    <w:semiHidden/>
    <w:rsid w:val="00D808B0"/>
    <w:rPr>
      <w:rFonts w:asciiTheme="majorHAnsi" w:eastAsiaTheme="majorEastAsia" w:hAnsiTheme="majorHAnsi" w:cstheme="majorBidi"/>
      <w:b/>
      <w:bCs/>
      <w:iCs/>
      <w:sz w:val="24"/>
    </w:rPr>
  </w:style>
  <w:style w:type="character" w:customStyle="1" w:styleId="Heading5Char">
    <w:name w:val="Heading 5 Char"/>
    <w:basedOn w:val="DefaultParagraphFont"/>
    <w:link w:val="Heading5"/>
    <w:uiPriority w:val="10"/>
    <w:semiHidden/>
    <w:rsid w:val="00D808B0"/>
    <w:rPr>
      <w:rFonts w:asciiTheme="majorHAnsi" w:eastAsia="Calibri" w:hAnsiTheme="majorHAnsi" w:cs="Times New Roman"/>
      <w:bCs/>
      <w:i/>
      <w:iCs/>
      <w:color w:val="000000" w:themeColor="text1"/>
      <w:sz w:val="20"/>
    </w:rPr>
  </w:style>
  <w:style w:type="character" w:customStyle="1" w:styleId="Heading6Char">
    <w:name w:val="Heading 6 Char"/>
    <w:basedOn w:val="DefaultParagraphFont"/>
    <w:link w:val="Heading6"/>
    <w:uiPriority w:val="9"/>
    <w:semiHidden/>
    <w:rsid w:val="00D808B0"/>
    <w:rPr>
      <w:rFonts w:asciiTheme="majorHAnsi" w:eastAsiaTheme="majorEastAsia" w:hAnsiTheme="majorHAnsi" w:cstheme="majorBidi"/>
      <w:i/>
      <w:iCs/>
      <w:color w:val="585D0F" w:themeColor="accent1" w:themeShade="7F"/>
      <w:sz w:val="20"/>
    </w:rPr>
  </w:style>
  <w:style w:type="character" w:customStyle="1" w:styleId="Heading7Char">
    <w:name w:val="Heading 7 Char"/>
    <w:basedOn w:val="DefaultParagraphFont"/>
    <w:link w:val="Heading7"/>
    <w:uiPriority w:val="9"/>
    <w:semiHidden/>
    <w:rsid w:val="00D808B0"/>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D808B0"/>
    <w:rPr>
      <w:rFonts w:asciiTheme="majorHAnsi" w:eastAsiaTheme="majorEastAsia" w:hAnsiTheme="majorHAnsi" w:cstheme="majorBidi"/>
      <w:color w:val="B2BB1E" w:themeColor="accent1"/>
      <w:sz w:val="20"/>
      <w:szCs w:val="20"/>
    </w:rPr>
  </w:style>
  <w:style w:type="character" w:customStyle="1" w:styleId="Heading9Char">
    <w:name w:val="Heading 9 Char"/>
    <w:basedOn w:val="DefaultParagraphFont"/>
    <w:link w:val="Heading9"/>
    <w:uiPriority w:val="9"/>
    <w:semiHidden/>
    <w:rsid w:val="00D808B0"/>
    <w:rPr>
      <w:rFonts w:asciiTheme="majorHAnsi" w:eastAsiaTheme="majorEastAsia" w:hAnsiTheme="majorHAnsi" w:cstheme="majorBidi"/>
      <w:i/>
      <w:iCs/>
      <w:color w:val="404040" w:themeColor="text1" w:themeTint="BF"/>
      <w:sz w:val="20"/>
      <w:szCs w:val="20"/>
    </w:rPr>
  </w:style>
  <w:style w:type="paragraph" w:customStyle="1" w:styleId="LFTNormal">
    <w:name w:val="LFT Normal"/>
    <w:basedOn w:val="Normal"/>
    <w:next w:val="LFTBody"/>
    <w:qFormat/>
    <w:rsid w:val="00A3722B"/>
  </w:style>
  <w:style w:type="paragraph" w:customStyle="1" w:styleId="LFTBody">
    <w:name w:val="LFT Body"/>
    <w:basedOn w:val="Normal"/>
    <w:uiPriority w:val="1"/>
    <w:qFormat/>
    <w:rsid w:val="006C0A91"/>
    <w:rPr>
      <w:sz w:val="21"/>
    </w:rPr>
  </w:style>
  <w:style w:type="paragraph" w:customStyle="1" w:styleId="LFTHeading5">
    <w:name w:val="LFT Heading 5"/>
    <w:next w:val="LFTBody"/>
    <w:qFormat/>
    <w:rsid w:val="006B1CD9"/>
    <w:pPr>
      <w:keepNext/>
      <w:spacing w:after="60" w:line="216" w:lineRule="auto"/>
    </w:pPr>
    <w:rPr>
      <w:rFonts w:asciiTheme="majorHAnsi" w:eastAsia="Calibri" w:hAnsiTheme="majorHAnsi" w:cs="Times New Roman"/>
      <w:bCs/>
      <w:i/>
      <w:iCs/>
      <w:color w:val="000000" w:themeColor="text1"/>
      <w:sz w:val="24"/>
    </w:rPr>
  </w:style>
  <w:style w:type="paragraph" w:styleId="TOCHeading">
    <w:name w:val="TOC Heading"/>
    <w:basedOn w:val="Heading1"/>
    <w:next w:val="Normal"/>
    <w:uiPriority w:val="39"/>
    <w:unhideWhenUsed/>
    <w:qFormat/>
    <w:rsid w:val="00876A4E"/>
    <w:pPr>
      <w:outlineLvl w:val="9"/>
    </w:pPr>
  </w:style>
  <w:style w:type="paragraph" w:customStyle="1" w:styleId="LFTSidebarTitle">
    <w:name w:val="LFT Sidebar Title"/>
    <w:basedOn w:val="Normal"/>
    <w:qFormat/>
    <w:rsid w:val="002D0892"/>
    <w:pPr>
      <w:suppressAutoHyphens/>
      <w:spacing w:after="100" w:line="216" w:lineRule="auto"/>
    </w:pPr>
    <w:rPr>
      <w:rFonts w:asciiTheme="majorHAnsi" w:eastAsia="Calibri" w:hAnsiTheme="majorHAnsi" w:cs="Times New Roman"/>
      <w:b/>
      <w:bCs/>
      <w:color w:val="00539B"/>
      <w:kern w:val="19"/>
    </w:rPr>
  </w:style>
  <w:style w:type="paragraph" w:customStyle="1" w:styleId="LFTSidebarText">
    <w:name w:val="LFT Sidebar Text"/>
    <w:basedOn w:val="Normal"/>
    <w:qFormat/>
    <w:rsid w:val="00B22D6F"/>
    <w:pPr>
      <w:spacing w:after="100" w:line="216" w:lineRule="auto"/>
    </w:pPr>
    <w:rPr>
      <w:rFonts w:asciiTheme="majorHAnsi" w:eastAsia="Calibri" w:hAnsiTheme="majorHAnsi" w:cs="Times New Roman"/>
      <w:bCs/>
      <w:color w:val="000000" w:themeColor="text1"/>
    </w:rPr>
  </w:style>
  <w:style w:type="paragraph" w:customStyle="1" w:styleId="LFTBullet1">
    <w:name w:val="LFT Bullet 1"/>
    <w:basedOn w:val="LFTBody"/>
    <w:uiPriority w:val="1"/>
    <w:rsid w:val="00B52136"/>
    <w:pPr>
      <w:numPr>
        <w:numId w:val="2"/>
      </w:numPr>
    </w:pPr>
  </w:style>
  <w:style w:type="paragraph" w:customStyle="1" w:styleId="LFTBullet2">
    <w:name w:val="LFT Bullet 2"/>
    <w:basedOn w:val="LFTBullet1"/>
    <w:uiPriority w:val="1"/>
    <w:rsid w:val="00BA21B3"/>
    <w:pPr>
      <w:numPr>
        <w:numId w:val="3"/>
      </w:numPr>
    </w:pPr>
  </w:style>
  <w:style w:type="paragraph" w:customStyle="1" w:styleId="LFTRunningHeaderLeft">
    <w:name w:val="LFT Running Header Left"/>
    <w:basedOn w:val="LFTRunningheaderRight"/>
    <w:qFormat/>
    <w:rsid w:val="00B22D6F"/>
    <w:pPr>
      <w:spacing w:line="216" w:lineRule="auto"/>
      <w:jc w:val="left"/>
    </w:pPr>
  </w:style>
  <w:style w:type="paragraph" w:customStyle="1" w:styleId="LFTRunningheaderRight">
    <w:name w:val="LFT Running header Right"/>
    <w:basedOn w:val="Normal"/>
    <w:uiPriority w:val="1"/>
    <w:qFormat/>
    <w:rsid w:val="00B22D6F"/>
    <w:pPr>
      <w:tabs>
        <w:tab w:val="center" w:pos="4680"/>
        <w:tab w:val="right" w:pos="9360"/>
      </w:tabs>
      <w:spacing w:after="0" w:line="240" w:lineRule="auto"/>
      <w:jc w:val="right"/>
    </w:pPr>
    <w:rPr>
      <w:rFonts w:asciiTheme="majorHAnsi" w:hAnsiTheme="majorHAnsi"/>
      <w:color w:val="0081C6" w:themeColor="background2"/>
      <w:sz w:val="18"/>
      <w:lang w:bidi="ar-SA"/>
    </w:rPr>
  </w:style>
  <w:style w:type="paragraph" w:customStyle="1" w:styleId="LFTHeading4">
    <w:name w:val="LFT Heading 4"/>
    <w:basedOn w:val="LFTHeading3"/>
    <w:next w:val="LFTBody"/>
    <w:qFormat/>
    <w:rsid w:val="006B1CD9"/>
    <w:rPr>
      <w:color w:val="auto"/>
      <w:sz w:val="24"/>
    </w:rPr>
  </w:style>
  <w:style w:type="paragraph" w:customStyle="1" w:styleId="LFTSmallpullquote">
    <w:name w:val="LFT Small pull quote"/>
    <w:basedOn w:val="Normal"/>
    <w:qFormat/>
    <w:rsid w:val="006D27DB"/>
    <w:pPr>
      <w:pBdr>
        <w:top w:val="single" w:sz="8" w:space="1" w:color="0081C6"/>
        <w:bottom w:val="single" w:sz="8" w:space="1" w:color="0081C6"/>
      </w:pBdr>
      <w:spacing w:after="0" w:line="300" w:lineRule="exact"/>
    </w:pPr>
    <w:rPr>
      <w:rFonts w:asciiTheme="majorHAnsi" w:eastAsia="Calibri" w:hAnsiTheme="majorHAnsi" w:cs="Times New Roman"/>
      <w:color w:val="00539B" w:themeColor="text2"/>
    </w:rPr>
  </w:style>
  <w:style w:type="paragraph" w:customStyle="1" w:styleId="LFTLargepullquote">
    <w:name w:val="LFT Large pull quote"/>
    <w:basedOn w:val="LFTSmallpullquote"/>
    <w:uiPriority w:val="1"/>
    <w:rsid w:val="00103FC7"/>
    <w:pPr>
      <w:framePr w:wrap="notBeside" w:vAnchor="text" w:hAnchor="text" w:y="1"/>
      <w:pBdr>
        <w:top w:val="none" w:sz="0" w:space="0" w:color="auto"/>
        <w:bottom w:val="none" w:sz="0" w:space="0" w:color="auto"/>
      </w:pBdr>
      <w:spacing w:line="288" w:lineRule="auto"/>
    </w:pPr>
    <w:rPr>
      <w:rFonts w:ascii="Pristina" w:hAnsi="Pristina"/>
      <w:sz w:val="36"/>
    </w:rPr>
  </w:style>
  <w:style w:type="paragraph" w:customStyle="1" w:styleId="LFTHeading3">
    <w:name w:val="LFT Heading 3"/>
    <w:next w:val="LFTBody"/>
    <w:qFormat/>
    <w:rsid w:val="006B1CD9"/>
    <w:pPr>
      <w:spacing w:after="60" w:line="216" w:lineRule="auto"/>
    </w:pPr>
    <w:rPr>
      <w:rFonts w:asciiTheme="majorHAnsi" w:eastAsiaTheme="majorEastAsia" w:hAnsiTheme="majorHAnsi" w:cstheme="majorBidi"/>
      <w:b/>
      <w:bCs/>
      <w:color w:val="0081C6" w:themeColor="background2"/>
      <w:sz w:val="28"/>
      <w:szCs w:val="28"/>
    </w:rPr>
  </w:style>
  <w:style w:type="paragraph" w:customStyle="1" w:styleId="LFTSidebarbullet">
    <w:name w:val="LFT Sidebar bullet"/>
    <w:qFormat/>
    <w:rsid w:val="002D0892"/>
    <w:pPr>
      <w:framePr w:wrap="around" w:vAnchor="text" w:hAnchor="text" w:y="1"/>
      <w:spacing w:after="100" w:line="216" w:lineRule="auto"/>
      <w:ind w:left="720" w:hanging="360"/>
    </w:pPr>
    <w:rPr>
      <w:rFonts w:asciiTheme="majorHAnsi" w:eastAsia="Calibri" w:hAnsiTheme="majorHAnsi" w:cs="Times New Roman"/>
      <w:bCs/>
      <w:color w:val="000000" w:themeColor="text1"/>
      <w:sz w:val="20"/>
    </w:rPr>
  </w:style>
  <w:style w:type="paragraph" w:customStyle="1" w:styleId="LFTHeading2">
    <w:name w:val="LFT Heading 2"/>
    <w:next w:val="LFTBody"/>
    <w:rsid w:val="006B1CD9"/>
    <w:pPr>
      <w:spacing w:before="60" w:after="60" w:line="216" w:lineRule="auto"/>
    </w:pPr>
    <w:rPr>
      <w:rFonts w:asciiTheme="majorHAnsi" w:eastAsiaTheme="majorEastAsia" w:hAnsiTheme="majorHAnsi" w:cstheme="majorBidi"/>
      <w:bCs/>
      <w:color w:val="00539B" w:themeColor="text2"/>
      <w:sz w:val="36"/>
      <w:szCs w:val="26"/>
    </w:rPr>
  </w:style>
  <w:style w:type="paragraph" w:styleId="BalloonText">
    <w:name w:val="Balloon Text"/>
    <w:basedOn w:val="Normal"/>
    <w:link w:val="BalloonTextChar"/>
    <w:uiPriority w:val="99"/>
    <w:semiHidden/>
    <w:unhideWhenUsed/>
    <w:rsid w:val="006177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7C0"/>
    <w:rPr>
      <w:rFonts w:ascii="Tahoma" w:hAnsi="Tahoma" w:cs="Tahoma"/>
      <w:sz w:val="16"/>
      <w:szCs w:val="16"/>
    </w:rPr>
  </w:style>
  <w:style w:type="table" w:styleId="TableGrid">
    <w:name w:val="Table Grid"/>
    <w:basedOn w:val="TableNormal"/>
    <w:uiPriority w:val="59"/>
    <w:rsid w:val="002F0FF7"/>
    <w:pPr>
      <w:spacing w:after="0" w:line="240" w:lineRule="auto"/>
    </w:pPr>
    <w:rPr>
      <w:rFonts w:ascii="Times New Roman" w:eastAsia="Times New Roman" w:hAnsi="Times New Roman" w:cs="Times New Roman"/>
      <w:sz w:val="20"/>
      <w:szCs w:val="20"/>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FTTabletext">
    <w:name w:val="LFT Table text"/>
    <w:basedOn w:val="Normal"/>
    <w:qFormat/>
    <w:rsid w:val="00CD7B2A"/>
    <w:pPr>
      <w:spacing w:after="60" w:line="216" w:lineRule="auto"/>
    </w:pPr>
    <w:rPr>
      <w:rFonts w:asciiTheme="majorHAnsi" w:hAnsiTheme="majorHAnsi"/>
      <w:bCs/>
      <w:sz w:val="18"/>
    </w:rPr>
  </w:style>
  <w:style w:type="paragraph" w:customStyle="1" w:styleId="LFTTableTitle">
    <w:name w:val="LFT Table Title"/>
    <w:basedOn w:val="Normal"/>
    <w:qFormat/>
    <w:rsid w:val="00C45E61"/>
    <w:pPr>
      <w:spacing w:after="60" w:line="216" w:lineRule="auto"/>
    </w:pPr>
    <w:rPr>
      <w:rFonts w:asciiTheme="majorHAnsi" w:hAnsiTheme="majorHAnsi"/>
      <w:b/>
      <w:bCs/>
      <w:sz w:val="21"/>
    </w:rPr>
  </w:style>
  <w:style w:type="paragraph" w:customStyle="1" w:styleId="LFTFooterText">
    <w:name w:val="LFT Footer Text"/>
    <w:basedOn w:val="Normal"/>
    <w:qFormat/>
    <w:rsid w:val="00E716DB"/>
    <w:pPr>
      <w:tabs>
        <w:tab w:val="center" w:pos="4680"/>
        <w:tab w:val="right" w:pos="9360"/>
      </w:tabs>
      <w:spacing w:after="0" w:line="240" w:lineRule="auto"/>
    </w:pPr>
    <w:rPr>
      <w:rFonts w:asciiTheme="majorHAnsi" w:hAnsiTheme="majorHAnsi"/>
      <w:color w:val="000000" w:themeColor="text1"/>
      <w:sz w:val="18"/>
      <w:lang w:bidi="ar-SA"/>
    </w:rPr>
  </w:style>
  <w:style w:type="paragraph" w:customStyle="1" w:styleId="LFTTablebullet">
    <w:name w:val="LFT Table bullet"/>
    <w:basedOn w:val="LFTTabletext"/>
    <w:qFormat/>
    <w:rsid w:val="00B22D6F"/>
    <w:pPr>
      <w:numPr>
        <w:numId w:val="1"/>
      </w:numPr>
      <w:ind w:left="288" w:hanging="144"/>
    </w:pPr>
  </w:style>
  <w:style w:type="paragraph" w:customStyle="1" w:styleId="LFTTableheader2">
    <w:name w:val="LFT Table header 2"/>
    <w:basedOn w:val="LFTTabletext"/>
    <w:qFormat/>
    <w:rsid w:val="00F252C9"/>
    <w:rPr>
      <w:b/>
    </w:rPr>
  </w:style>
  <w:style w:type="paragraph" w:styleId="Header">
    <w:name w:val="header"/>
    <w:basedOn w:val="Normal"/>
    <w:link w:val="HeaderChar"/>
    <w:uiPriority w:val="99"/>
    <w:unhideWhenUsed/>
    <w:rsid w:val="00A372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722B"/>
    <w:rPr>
      <w:sz w:val="20"/>
    </w:rPr>
  </w:style>
  <w:style w:type="paragraph" w:customStyle="1" w:styleId="LFTPageNumber">
    <w:name w:val="LFT  Page Number"/>
    <w:basedOn w:val="Normal"/>
    <w:qFormat/>
    <w:rsid w:val="004708C5"/>
    <w:pPr>
      <w:tabs>
        <w:tab w:val="center" w:pos="4680"/>
        <w:tab w:val="right" w:pos="8280"/>
      </w:tabs>
      <w:spacing w:after="0" w:line="240" w:lineRule="auto"/>
      <w:jc w:val="right"/>
    </w:pPr>
    <w:rPr>
      <w:rFonts w:asciiTheme="majorHAnsi" w:hAnsiTheme="majorHAnsi"/>
      <w:color w:val="000000" w:themeColor="text1"/>
      <w:lang w:bidi="ar-SA"/>
    </w:rPr>
  </w:style>
  <w:style w:type="paragraph" w:customStyle="1" w:styleId="LFTNumberedList">
    <w:name w:val="LFT Numbered List"/>
    <w:basedOn w:val="LFTBullet1"/>
    <w:qFormat/>
    <w:rsid w:val="00522F6C"/>
    <w:pPr>
      <w:numPr>
        <w:numId w:val="4"/>
      </w:numPr>
    </w:pPr>
  </w:style>
  <w:style w:type="paragraph" w:customStyle="1" w:styleId="LFTHeading1">
    <w:name w:val="LFT Heading 1"/>
    <w:next w:val="LFTBody"/>
    <w:qFormat/>
    <w:rsid w:val="006B1CD9"/>
    <w:pPr>
      <w:spacing w:after="440" w:line="264" w:lineRule="auto"/>
    </w:pPr>
    <w:rPr>
      <w:rFonts w:ascii="Calibri" w:eastAsiaTheme="majorEastAsia" w:hAnsi="Calibri" w:cstheme="majorBidi"/>
      <w:bCs/>
      <w:color w:val="00539B" w:themeColor="text2"/>
      <w:sz w:val="44"/>
      <w:szCs w:val="28"/>
    </w:rPr>
  </w:style>
  <w:style w:type="paragraph" w:customStyle="1" w:styleId="LFTFootnote">
    <w:name w:val="LFT Footnote"/>
    <w:basedOn w:val="LFTBody"/>
    <w:rsid w:val="00BD23FC"/>
    <w:pPr>
      <w:suppressAutoHyphens/>
      <w:spacing w:after="100" w:line="216" w:lineRule="auto"/>
    </w:pPr>
    <w:rPr>
      <w:rFonts w:eastAsia="Calibri" w:cs="Times New Roman"/>
      <w:kern w:val="19"/>
      <w:sz w:val="17"/>
      <w:szCs w:val="17"/>
      <w:lang w:bidi="ar-SA"/>
    </w:rPr>
  </w:style>
  <w:style w:type="paragraph" w:customStyle="1" w:styleId="LFTDOCCODE">
    <w:name w:val="LFT DOC CODE"/>
    <w:basedOn w:val="Normal"/>
    <w:rsid w:val="00E716DB"/>
    <w:pPr>
      <w:tabs>
        <w:tab w:val="center" w:pos="4320"/>
        <w:tab w:val="right" w:pos="8640"/>
      </w:tabs>
      <w:spacing w:before="40" w:after="0" w:line="120" w:lineRule="exact"/>
      <w:ind w:hanging="2880"/>
    </w:pPr>
    <w:rPr>
      <w:rFonts w:ascii="Calibri" w:eastAsia="Times New Roman" w:hAnsi="Calibri" w:cs="Times New Roman"/>
      <w:sz w:val="10"/>
      <w:szCs w:val="20"/>
      <w:lang w:bidi="ar-SA"/>
    </w:rPr>
  </w:style>
  <w:style w:type="paragraph" w:styleId="FootnoteText">
    <w:name w:val="footnote text"/>
    <w:basedOn w:val="Normal"/>
    <w:link w:val="FootnoteTextChar"/>
    <w:uiPriority w:val="99"/>
    <w:semiHidden/>
    <w:unhideWhenUsed/>
    <w:rsid w:val="00BD23FC"/>
    <w:pPr>
      <w:spacing w:after="0" w:line="240" w:lineRule="auto"/>
    </w:pPr>
    <w:rPr>
      <w:szCs w:val="20"/>
    </w:rPr>
  </w:style>
  <w:style w:type="character" w:customStyle="1" w:styleId="FootnoteTextChar">
    <w:name w:val="Footnote Text Char"/>
    <w:basedOn w:val="DefaultParagraphFont"/>
    <w:link w:val="FootnoteText"/>
    <w:uiPriority w:val="99"/>
    <w:semiHidden/>
    <w:rsid w:val="00BD23FC"/>
    <w:rPr>
      <w:sz w:val="20"/>
      <w:szCs w:val="20"/>
    </w:rPr>
  </w:style>
  <w:style w:type="character" w:styleId="FootnoteReference">
    <w:name w:val="footnote reference"/>
    <w:basedOn w:val="DefaultParagraphFont"/>
    <w:uiPriority w:val="99"/>
    <w:semiHidden/>
    <w:unhideWhenUsed/>
    <w:rsid w:val="00BD23FC"/>
    <w:rPr>
      <w:vertAlign w:val="superscript"/>
    </w:rPr>
  </w:style>
  <w:style w:type="paragraph" w:customStyle="1" w:styleId="LFTFigureStyle">
    <w:name w:val="LFT Figure Style"/>
    <w:basedOn w:val="Normal"/>
    <w:link w:val="LFTFigureStyleChar"/>
    <w:qFormat/>
    <w:rsid w:val="00B8324C"/>
    <w:pPr>
      <w:spacing w:after="0" w:line="216" w:lineRule="auto"/>
      <w:jc w:val="right"/>
    </w:pPr>
    <w:rPr>
      <w:rFonts w:asciiTheme="majorHAnsi" w:hAnsiTheme="majorHAnsi"/>
      <w:b/>
      <w:sz w:val="21"/>
      <w:szCs w:val="21"/>
    </w:rPr>
  </w:style>
  <w:style w:type="character" w:customStyle="1" w:styleId="LFTFigureStyleChar">
    <w:name w:val="LFT Figure Style Char"/>
    <w:basedOn w:val="DefaultParagraphFont"/>
    <w:link w:val="LFTFigureStyle"/>
    <w:rsid w:val="00B8324C"/>
    <w:rPr>
      <w:rFonts w:asciiTheme="majorHAnsi" w:hAnsiTheme="majorHAnsi"/>
      <w:b/>
      <w:sz w:val="21"/>
      <w:szCs w:val="21"/>
    </w:rPr>
  </w:style>
  <w:style w:type="paragraph" w:styleId="Footer">
    <w:name w:val="footer"/>
    <w:basedOn w:val="Normal"/>
    <w:link w:val="FooterChar"/>
    <w:uiPriority w:val="99"/>
    <w:unhideWhenUsed/>
    <w:rsid w:val="007A71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7190"/>
    <w:rPr>
      <w:sz w:val="20"/>
    </w:rPr>
  </w:style>
  <w:style w:type="paragraph" w:customStyle="1" w:styleId="LFTPageNumber0">
    <w:name w:val="LFT Page Number"/>
    <w:basedOn w:val="Normal"/>
    <w:qFormat/>
    <w:rsid w:val="007A7190"/>
    <w:pPr>
      <w:tabs>
        <w:tab w:val="center" w:pos="4680"/>
        <w:tab w:val="right" w:pos="8280"/>
      </w:tabs>
      <w:spacing w:after="0" w:line="240" w:lineRule="auto"/>
      <w:jc w:val="right"/>
    </w:pPr>
    <w:rPr>
      <w:rFonts w:asciiTheme="majorHAnsi" w:hAnsiTheme="majorHAnsi"/>
      <w:color w:val="000000" w:themeColor="text1"/>
      <w:sz w:val="18"/>
      <w:lang w:bidi="ar-SA"/>
    </w:rPr>
  </w:style>
  <w:style w:type="paragraph" w:customStyle="1" w:styleId="LFTMemoTEXT">
    <w:name w:val="LFT Memo/TEXT"/>
    <w:basedOn w:val="Normal"/>
    <w:link w:val="LFTMemoTEXTChar"/>
    <w:qFormat/>
    <w:rsid w:val="00EE6C34"/>
    <w:pPr>
      <w:spacing w:after="240" w:line="280" w:lineRule="exact"/>
    </w:pPr>
    <w:rPr>
      <w:rFonts w:eastAsia="Times New Roman" w:cs="Times New Roman"/>
      <w:sz w:val="22"/>
      <w:szCs w:val="20"/>
      <w:lang w:bidi="ar-SA"/>
    </w:rPr>
  </w:style>
  <w:style w:type="character" w:customStyle="1" w:styleId="LFTMemoTEXTChar">
    <w:name w:val="LFT Memo/TEXT Char"/>
    <w:basedOn w:val="DefaultParagraphFont"/>
    <w:link w:val="LFTMemoTEXT"/>
    <w:rsid w:val="00EE6C34"/>
    <w:rPr>
      <w:rFonts w:eastAsia="Times New Roman" w:cs="Times New Roman"/>
      <w:szCs w:val="20"/>
      <w:lang w:bidi="ar-SA"/>
    </w:rPr>
  </w:style>
  <w:style w:type="paragraph" w:customStyle="1" w:styleId="LFTMemoBULLET">
    <w:name w:val="LFT Memo/BULLET"/>
    <w:basedOn w:val="LFTMemoTEXT"/>
    <w:qFormat/>
    <w:rsid w:val="00EE6C34"/>
    <w:pPr>
      <w:numPr>
        <w:numId w:val="5"/>
      </w:numPr>
      <w:tabs>
        <w:tab w:val="left" w:pos="240"/>
      </w:tabs>
      <w:spacing w:after="160"/>
    </w:pPr>
  </w:style>
  <w:style w:type="character" w:styleId="Hyperlink">
    <w:name w:val="Hyperlink"/>
    <w:basedOn w:val="DefaultParagraphFont"/>
    <w:uiPriority w:val="99"/>
    <w:unhideWhenUsed/>
    <w:rsid w:val="00EE6C34"/>
    <w:rPr>
      <w:color w:val="0000FF"/>
      <w:u w:val="single"/>
    </w:rPr>
  </w:style>
  <w:style w:type="character" w:styleId="CommentReference">
    <w:name w:val="annotation reference"/>
    <w:basedOn w:val="DefaultParagraphFont"/>
    <w:uiPriority w:val="99"/>
    <w:semiHidden/>
    <w:rsid w:val="00EE6C34"/>
    <w:rPr>
      <w:sz w:val="16"/>
      <w:szCs w:val="16"/>
    </w:rPr>
  </w:style>
  <w:style w:type="paragraph" w:styleId="CommentText">
    <w:name w:val="annotation text"/>
    <w:basedOn w:val="Normal"/>
    <w:link w:val="CommentTextChar"/>
    <w:uiPriority w:val="99"/>
    <w:semiHidden/>
    <w:rsid w:val="00EE6C34"/>
    <w:pPr>
      <w:spacing w:after="0" w:line="240" w:lineRule="auto"/>
    </w:pPr>
    <w:rPr>
      <w:rFonts w:ascii="Cambria" w:eastAsia="Times New Roman" w:hAnsi="Cambria" w:cs="Times New Roman"/>
      <w:szCs w:val="20"/>
      <w:lang w:bidi="ar-SA"/>
    </w:rPr>
  </w:style>
  <w:style w:type="character" w:customStyle="1" w:styleId="CommentTextChar">
    <w:name w:val="Comment Text Char"/>
    <w:basedOn w:val="DefaultParagraphFont"/>
    <w:link w:val="CommentText"/>
    <w:uiPriority w:val="99"/>
    <w:semiHidden/>
    <w:rsid w:val="00EE6C34"/>
    <w:rPr>
      <w:rFonts w:ascii="Cambria" w:eastAsia="Times New Roman" w:hAnsi="Cambria" w:cs="Times New Roman"/>
      <w:sz w:val="20"/>
      <w:szCs w:val="20"/>
      <w:lang w:bidi="ar-SA"/>
    </w:rPr>
  </w:style>
  <w:style w:type="paragraph" w:customStyle="1" w:styleId="LFTMemoHEAD5">
    <w:name w:val="LFT Memo/HEAD 5"/>
    <w:basedOn w:val="LFTMemoTEXT"/>
    <w:next w:val="LFTMemoTEXT"/>
    <w:qFormat/>
    <w:rsid w:val="00EE6C34"/>
    <w:pPr>
      <w:keepNext/>
      <w:numPr>
        <w:numId w:val="6"/>
      </w:numPr>
      <w:spacing w:after="0" w:line="22" w:lineRule="atLeast"/>
      <w:outlineLvl w:val="2"/>
    </w:pPr>
    <w:rPr>
      <w:rFonts w:asciiTheme="majorHAnsi" w:hAnsiTheme="majorHAnsi"/>
      <w:b/>
      <w:i/>
      <w:sz w:val="24"/>
      <w:szCs w:val="24"/>
    </w:rPr>
  </w:style>
  <w:style w:type="paragraph" w:styleId="ListParagraph">
    <w:name w:val="List Paragraph"/>
    <w:basedOn w:val="Normal"/>
    <w:uiPriority w:val="34"/>
    <w:qFormat/>
    <w:rsid w:val="00EE6C34"/>
    <w:pPr>
      <w:spacing w:after="0" w:line="240" w:lineRule="auto"/>
      <w:ind w:left="720"/>
      <w:contextualSpacing/>
    </w:pPr>
    <w:rPr>
      <w:rFonts w:ascii="Cambria" w:eastAsia="Times New Roman" w:hAnsi="Cambria" w:cs="Times New Roman"/>
      <w:szCs w:val="20"/>
      <w:lang w:bidi="ar-SA"/>
    </w:rPr>
  </w:style>
  <w:style w:type="paragraph" w:customStyle="1" w:styleId="LFTMemoHEAD4">
    <w:name w:val="LFT Memo/HEAD 4"/>
    <w:basedOn w:val="LFTMemoTEXT"/>
    <w:next w:val="LFTMemoTEXT"/>
    <w:qFormat/>
    <w:rsid w:val="00EE6C34"/>
    <w:pPr>
      <w:keepNext/>
      <w:spacing w:after="60"/>
      <w:outlineLvl w:val="1"/>
    </w:pPr>
    <w:rPr>
      <w:b/>
      <w:i/>
      <w:sz w:val="24"/>
    </w:rPr>
  </w:style>
  <w:style w:type="paragraph" w:styleId="NormalWeb">
    <w:name w:val="Normal (Web)"/>
    <w:basedOn w:val="Normal"/>
    <w:uiPriority w:val="99"/>
    <w:semiHidden/>
    <w:rsid w:val="00EE6C34"/>
    <w:pPr>
      <w:spacing w:after="0" w:line="240" w:lineRule="auto"/>
    </w:pPr>
    <w:rPr>
      <w:rFonts w:ascii="Cambria" w:eastAsia="Times New Roman" w:hAnsi="Cambria" w:cs="Times New Roman"/>
      <w:sz w:val="24"/>
      <w:szCs w:val="24"/>
      <w:lang w:bidi="ar-SA"/>
    </w:rPr>
  </w:style>
  <w:style w:type="paragraph" w:customStyle="1" w:styleId="heading60">
    <w:name w:val="heading6"/>
    <w:basedOn w:val="LFTMemoTEXT"/>
    <w:link w:val="heading6Char0"/>
    <w:qFormat/>
    <w:rsid w:val="00EE6C34"/>
    <w:pPr>
      <w:keepNext/>
      <w:spacing w:after="0"/>
      <w:ind w:firstLine="720"/>
      <w:outlineLvl w:val="3"/>
    </w:pPr>
    <w:rPr>
      <w:u w:val="single"/>
    </w:rPr>
  </w:style>
  <w:style w:type="character" w:customStyle="1" w:styleId="heading6Char0">
    <w:name w:val="heading6 Char"/>
    <w:basedOn w:val="LFTMemoTEXTChar"/>
    <w:link w:val="heading60"/>
    <w:rsid w:val="00EE6C34"/>
    <w:rPr>
      <w:rFonts w:eastAsia="Times New Roman" w:cs="Times New Roman"/>
      <w:szCs w:val="20"/>
      <w:u w:val="single"/>
      <w:lang w:bidi="ar-SA"/>
    </w:rPr>
  </w:style>
  <w:style w:type="character" w:customStyle="1" w:styleId="apple-converted-space">
    <w:name w:val="apple-converted-space"/>
    <w:basedOn w:val="DefaultParagraphFont"/>
    <w:rsid w:val="00EE6C34"/>
  </w:style>
  <w:style w:type="character" w:styleId="FollowedHyperlink">
    <w:name w:val="FollowedHyperlink"/>
    <w:basedOn w:val="DefaultParagraphFont"/>
    <w:uiPriority w:val="99"/>
    <w:semiHidden/>
    <w:unhideWhenUsed/>
    <w:rsid w:val="00EE6C34"/>
    <w:rPr>
      <w:color w:val="777777" w:themeColor="followedHyperlink"/>
      <w:u w:val="single"/>
    </w:rPr>
  </w:style>
  <w:style w:type="paragraph" w:styleId="Caption">
    <w:name w:val="caption"/>
    <w:aliases w:val="LFT Memo/Caption"/>
    <w:basedOn w:val="Normal"/>
    <w:rsid w:val="001F046A"/>
    <w:pPr>
      <w:spacing w:after="12" w:line="200" w:lineRule="exact"/>
      <w:jc w:val="right"/>
    </w:pPr>
    <w:rPr>
      <w:rFonts w:asciiTheme="majorHAnsi" w:eastAsia="Times New Roman" w:hAnsiTheme="majorHAnsi" w:cs="Times New Roman"/>
      <w:i/>
      <w:sz w:val="18"/>
      <w:szCs w:val="20"/>
      <w:lang w:bidi="ar-SA"/>
    </w:rPr>
  </w:style>
  <w:style w:type="paragraph" w:customStyle="1" w:styleId="LFTMemoHEAD2">
    <w:name w:val="LFT Memo/HEAD 2"/>
    <w:basedOn w:val="Normal"/>
    <w:next w:val="LFTMemoTEXT"/>
    <w:qFormat/>
    <w:rsid w:val="001F046A"/>
    <w:pPr>
      <w:keepNext/>
      <w:spacing w:after="60" w:line="360" w:lineRule="exact"/>
    </w:pPr>
    <w:rPr>
      <w:rFonts w:asciiTheme="majorHAnsi" w:eastAsia="Times New Roman" w:hAnsiTheme="majorHAnsi" w:cs="Times New Roman"/>
      <w:b/>
      <w:sz w:val="36"/>
      <w:szCs w:val="20"/>
      <w:lang w:bidi="ar-SA"/>
    </w:rPr>
  </w:style>
  <w:style w:type="paragraph" w:customStyle="1" w:styleId="LFTMemoPULLQUOTE">
    <w:name w:val="LFT Memo/PULL QUOTE"/>
    <w:basedOn w:val="Normal"/>
    <w:autoRedefine/>
    <w:rsid w:val="001F046A"/>
    <w:pPr>
      <w:shd w:val="solid" w:color="FFFFFF" w:fill="FFFFFF"/>
      <w:spacing w:after="0" w:line="330" w:lineRule="exact"/>
      <w:jc w:val="right"/>
    </w:pPr>
    <w:rPr>
      <w:rFonts w:asciiTheme="majorHAnsi" w:eastAsia="Times New Roman" w:hAnsiTheme="majorHAnsi" w:cs="Times New Roman"/>
      <w:b/>
      <w:i/>
      <w:sz w:val="25"/>
      <w:szCs w:val="20"/>
      <w:lang w:bidi="ar-SA"/>
    </w:rPr>
  </w:style>
  <w:style w:type="paragraph" w:customStyle="1" w:styleId="LFTMemoHEAD3">
    <w:name w:val="LFT Memo/HEAD 3"/>
    <w:basedOn w:val="LFTMemoTEXT"/>
    <w:next w:val="LFTMemoTEXT"/>
    <w:qFormat/>
    <w:rsid w:val="001F046A"/>
    <w:pPr>
      <w:keepNext/>
      <w:spacing w:after="60" w:line="320" w:lineRule="exact"/>
      <w:outlineLvl w:val="0"/>
    </w:pPr>
    <w:rPr>
      <w:b/>
      <w:sz w:val="28"/>
    </w:rPr>
  </w:style>
  <w:style w:type="paragraph" w:customStyle="1" w:styleId="LFTMemoDOCCODE">
    <w:name w:val="LFT Memo/DOC CODE"/>
    <w:basedOn w:val="Footer"/>
    <w:rsid w:val="001F046A"/>
  </w:style>
  <w:style w:type="paragraph" w:styleId="DocumentMap">
    <w:name w:val="Document Map"/>
    <w:basedOn w:val="Normal"/>
    <w:link w:val="DocumentMapChar"/>
    <w:semiHidden/>
    <w:rsid w:val="001F046A"/>
    <w:pPr>
      <w:shd w:val="clear" w:color="auto" w:fill="000080"/>
      <w:spacing w:after="0" w:line="240" w:lineRule="auto"/>
    </w:pPr>
    <w:rPr>
      <w:rFonts w:ascii="Tahoma" w:eastAsia="Times New Roman" w:hAnsi="Tahoma" w:cs="Times New Roman"/>
      <w:szCs w:val="20"/>
      <w:lang w:bidi="ar-SA"/>
    </w:rPr>
  </w:style>
  <w:style w:type="character" w:customStyle="1" w:styleId="DocumentMapChar">
    <w:name w:val="Document Map Char"/>
    <w:basedOn w:val="DefaultParagraphFont"/>
    <w:link w:val="DocumentMap"/>
    <w:semiHidden/>
    <w:rsid w:val="001F046A"/>
    <w:rPr>
      <w:rFonts w:ascii="Tahoma" w:eastAsia="Times New Roman" w:hAnsi="Tahoma" w:cs="Times New Roman"/>
      <w:sz w:val="20"/>
      <w:szCs w:val="20"/>
      <w:shd w:val="clear" w:color="auto" w:fill="000080"/>
      <w:lang w:bidi="ar-SA"/>
    </w:rPr>
  </w:style>
  <w:style w:type="paragraph" w:customStyle="1" w:styleId="LFTTo">
    <w:name w:val="LFT/To"/>
    <w:aliases w:val="From..."/>
    <w:basedOn w:val="Normal"/>
    <w:qFormat/>
    <w:rsid w:val="001F046A"/>
    <w:pPr>
      <w:keepLines/>
      <w:tabs>
        <w:tab w:val="left" w:pos="288"/>
        <w:tab w:val="left" w:pos="1180"/>
      </w:tabs>
      <w:spacing w:after="0" w:line="240" w:lineRule="auto"/>
      <w:ind w:left="1170" w:hanging="1170"/>
    </w:pPr>
    <w:rPr>
      <w:rFonts w:asciiTheme="majorHAnsi" w:eastAsia="Times New Roman" w:hAnsiTheme="majorHAnsi" w:cs="Times New Roman"/>
      <w:i/>
      <w:snapToGrid w:val="0"/>
      <w:sz w:val="26"/>
      <w:szCs w:val="20"/>
      <w:lang w:bidi="ar-SA"/>
    </w:rPr>
  </w:style>
  <w:style w:type="paragraph" w:customStyle="1" w:styleId="LFTCC">
    <w:name w:val="LFT/CC"/>
    <w:basedOn w:val="Normal"/>
    <w:rsid w:val="001F046A"/>
    <w:pPr>
      <w:keepLines/>
      <w:tabs>
        <w:tab w:val="left" w:pos="360"/>
      </w:tabs>
      <w:spacing w:after="0" w:line="240" w:lineRule="auto"/>
      <w:ind w:left="547" w:hanging="547"/>
    </w:pPr>
    <w:rPr>
      <w:rFonts w:eastAsia="Times New Roman" w:cs="Times New Roman"/>
      <w:snapToGrid w:val="0"/>
      <w:sz w:val="22"/>
      <w:szCs w:val="20"/>
      <w:lang w:bidi="ar-SA"/>
    </w:rPr>
  </w:style>
  <w:style w:type="paragraph" w:customStyle="1" w:styleId="CDMMemoADDRESS">
    <w:name w:val="CDM Memo/ADDRESS"/>
    <w:basedOn w:val="Normal"/>
    <w:qFormat/>
    <w:rsid w:val="001F046A"/>
    <w:pPr>
      <w:tabs>
        <w:tab w:val="left" w:pos="360"/>
      </w:tabs>
      <w:spacing w:after="0" w:line="240" w:lineRule="auto"/>
      <w:ind w:right="360"/>
    </w:pPr>
    <w:rPr>
      <w:rFonts w:ascii="Cambria" w:eastAsia="Times New Roman" w:hAnsi="Cambria" w:cs="Times New Roman"/>
      <w:sz w:val="22"/>
      <w:szCs w:val="20"/>
      <w:lang w:bidi="ar-SA"/>
    </w:rPr>
  </w:style>
  <w:style w:type="paragraph" w:customStyle="1" w:styleId="heading70">
    <w:name w:val="heading7"/>
    <w:basedOn w:val="heading60"/>
    <w:link w:val="heading7Char0"/>
    <w:qFormat/>
    <w:rsid w:val="001F046A"/>
    <w:pPr>
      <w:ind w:firstLine="1440"/>
      <w:outlineLvl w:val="4"/>
    </w:pPr>
    <w:rPr>
      <w:i/>
    </w:rPr>
  </w:style>
  <w:style w:type="character" w:customStyle="1" w:styleId="heading7Char0">
    <w:name w:val="heading7 Char"/>
    <w:basedOn w:val="heading6Char0"/>
    <w:link w:val="heading70"/>
    <w:rsid w:val="001F046A"/>
    <w:rPr>
      <w:rFonts w:eastAsia="Times New Roman" w:cs="Times New Roman"/>
      <w:i/>
      <w:szCs w:val="20"/>
      <w:u w:val="single"/>
      <w:lang w:bidi="ar-SA"/>
    </w:rPr>
  </w:style>
  <w:style w:type="character" w:customStyle="1" w:styleId="mw-headline">
    <w:name w:val="mw-headline"/>
    <w:basedOn w:val="DefaultParagraphFont"/>
    <w:rsid w:val="001F046A"/>
  </w:style>
  <w:style w:type="paragraph" w:styleId="CommentSubject">
    <w:name w:val="annotation subject"/>
    <w:basedOn w:val="CommentText"/>
    <w:next w:val="CommentText"/>
    <w:link w:val="CommentSubjectChar"/>
    <w:uiPriority w:val="99"/>
    <w:semiHidden/>
    <w:rsid w:val="001F046A"/>
    <w:rPr>
      <w:b/>
      <w:bCs/>
    </w:rPr>
  </w:style>
  <w:style w:type="character" w:customStyle="1" w:styleId="CommentSubjectChar">
    <w:name w:val="Comment Subject Char"/>
    <w:basedOn w:val="CommentTextChar"/>
    <w:link w:val="CommentSubject"/>
    <w:uiPriority w:val="99"/>
    <w:semiHidden/>
    <w:rsid w:val="001F046A"/>
    <w:rPr>
      <w:rFonts w:ascii="Cambria" w:eastAsia="Times New Roman" w:hAnsi="Cambria" w:cs="Times New Roman"/>
      <w:b/>
      <w:bCs/>
      <w:sz w:val="20"/>
      <w:szCs w:val="20"/>
      <w:lang w:bidi="ar-SA"/>
    </w:rPr>
  </w:style>
  <w:style w:type="paragraph" w:styleId="Revision">
    <w:name w:val="Revision"/>
    <w:hidden/>
    <w:uiPriority w:val="99"/>
    <w:semiHidden/>
    <w:rsid w:val="001F046A"/>
    <w:pPr>
      <w:spacing w:after="0" w:line="240" w:lineRule="auto"/>
    </w:pPr>
    <w:rPr>
      <w:rFonts w:ascii="Cambria" w:eastAsia="Times New Roman" w:hAnsi="Cambria" w:cs="Times New Roman"/>
      <w:sz w:val="20"/>
      <w:szCs w:val="20"/>
      <w:lang w:bidi="ar-SA"/>
    </w:rPr>
  </w:style>
  <w:style w:type="paragraph" w:styleId="ListBullet">
    <w:name w:val="List Bullet"/>
    <w:basedOn w:val="Normal"/>
    <w:uiPriority w:val="99"/>
    <w:semiHidden/>
    <w:rsid w:val="001F046A"/>
    <w:pPr>
      <w:tabs>
        <w:tab w:val="num" w:pos="360"/>
      </w:tabs>
      <w:spacing w:after="0" w:line="240" w:lineRule="auto"/>
      <w:ind w:left="360" w:hanging="360"/>
      <w:contextualSpacing/>
    </w:pPr>
    <w:rPr>
      <w:rFonts w:ascii="Cambria" w:eastAsia="Times New Roman" w:hAnsi="Cambria" w:cs="Times New Roman"/>
      <w:szCs w:val="20"/>
      <w:lang w:bidi="ar-SA"/>
    </w:rPr>
  </w:style>
  <w:style w:type="character" w:styleId="PlaceholderText">
    <w:name w:val="Placeholder Text"/>
    <w:basedOn w:val="DefaultParagraphFont"/>
    <w:uiPriority w:val="99"/>
    <w:semiHidden/>
    <w:rsid w:val="001F046A"/>
    <w:rPr>
      <w:color w:val="808080"/>
    </w:rPr>
  </w:style>
  <w:style w:type="paragraph" w:styleId="TOC2">
    <w:name w:val="toc 2"/>
    <w:basedOn w:val="Normal"/>
    <w:next w:val="Normal"/>
    <w:autoRedefine/>
    <w:uiPriority w:val="39"/>
    <w:qFormat/>
    <w:rsid w:val="001F046A"/>
    <w:pPr>
      <w:spacing w:after="0" w:line="240" w:lineRule="auto"/>
      <w:ind w:left="200"/>
    </w:pPr>
    <w:rPr>
      <w:rFonts w:eastAsia="Times New Roman" w:cs="Times New Roman"/>
      <w:smallCaps/>
      <w:szCs w:val="20"/>
      <w:lang w:bidi="ar-SA"/>
    </w:rPr>
  </w:style>
  <w:style w:type="paragraph" w:customStyle="1" w:styleId="LFTTOCHead1">
    <w:name w:val="LFT TOC/Head 1"/>
    <w:basedOn w:val="Normal"/>
    <w:rsid w:val="001F046A"/>
    <w:pPr>
      <w:keepNext/>
      <w:spacing w:after="480" w:line="460" w:lineRule="exact"/>
    </w:pPr>
    <w:rPr>
      <w:rFonts w:asciiTheme="majorHAnsi" w:eastAsia="Times New Roman" w:hAnsiTheme="majorHAnsi" w:cs="Times New Roman"/>
      <w:color w:val="00539B" w:themeColor="text2"/>
      <w:sz w:val="36"/>
      <w:szCs w:val="20"/>
      <w:lang w:bidi="ar-SA"/>
    </w:rPr>
  </w:style>
  <w:style w:type="paragraph" w:customStyle="1" w:styleId="LFTTOC1">
    <w:name w:val="LFT TOC 1"/>
    <w:basedOn w:val="TOC1"/>
    <w:qFormat/>
    <w:rsid w:val="001F046A"/>
    <w:pPr>
      <w:tabs>
        <w:tab w:val="left" w:pos="990"/>
        <w:tab w:val="right" w:leader="dot" w:pos="9163"/>
      </w:tabs>
      <w:spacing w:after="60" w:line="216" w:lineRule="auto"/>
    </w:pPr>
    <w:rPr>
      <w:rFonts w:eastAsiaTheme="minorHAnsi" w:cstheme="minorBidi"/>
      <w:b w:val="0"/>
      <w:bCs w:val="0"/>
      <w:noProof/>
      <w:color w:val="0081C6"/>
      <w:lang w:bidi="en-US"/>
    </w:rPr>
  </w:style>
  <w:style w:type="paragraph" w:customStyle="1" w:styleId="LFTTOC2">
    <w:name w:val="LFT TOC 2"/>
    <w:basedOn w:val="TOC2"/>
    <w:qFormat/>
    <w:rsid w:val="001F046A"/>
  </w:style>
  <w:style w:type="paragraph" w:customStyle="1" w:styleId="LFTTOC3">
    <w:name w:val="LFT TOC 3"/>
    <w:basedOn w:val="TOC3"/>
    <w:qFormat/>
    <w:rsid w:val="001F046A"/>
    <w:pPr>
      <w:tabs>
        <w:tab w:val="right" w:leader="dot" w:pos="9163"/>
      </w:tabs>
      <w:spacing w:line="264" w:lineRule="auto"/>
      <w:ind w:left="1181"/>
    </w:pPr>
    <w:rPr>
      <w:rFonts w:eastAsiaTheme="minorHAnsi" w:cstheme="minorBidi"/>
      <w:iCs w:val="0"/>
      <w:noProof/>
      <w:lang w:bidi="en-US"/>
    </w:rPr>
  </w:style>
  <w:style w:type="paragraph" w:customStyle="1" w:styleId="LFTTOC4">
    <w:name w:val="LFT TOC 4"/>
    <w:basedOn w:val="TOC4"/>
    <w:qFormat/>
    <w:rsid w:val="001F046A"/>
    <w:pPr>
      <w:tabs>
        <w:tab w:val="right" w:leader="dot" w:pos="9163"/>
      </w:tabs>
      <w:spacing w:line="264" w:lineRule="auto"/>
      <w:ind w:left="1642"/>
    </w:pPr>
    <w:rPr>
      <w:rFonts w:eastAsiaTheme="minorHAnsi" w:cstheme="minorBidi"/>
      <w:noProof/>
      <w:lang w:bidi="en-US"/>
    </w:rPr>
  </w:style>
  <w:style w:type="paragraph" w:styleId="TOC1">
    <w:name w:val="toc 1"/>
    <w:basedOn w:val="Normal"/>
    <w:next w:val="Normal"/>
    <w:autoRedefine/>
    <w:uiPriority w:val="39"/>
    <w:qFormat/>
    <w:rsid w:val="001F046A"/>
    <w:pPr>
      <w:spacing w:before="120" w:after="120" w:line="240" w:lineRule="auto"/>
    </w:pPr>
    <w:rPr>
      <w:rFonts w:eastAsia="Times New Roman" w:cs="Times New Roman"/>
      <w:b/>
      <w:bCs/>
      <w:caps/>
      <w:szCs w:val="20"/>
      <w:lang w:bidi="ar-SA"/>
    </w:rPr>
  </w:style>
  <w:style w:type="paragraph" w:styleId="TOC3">
    <w:name w:val="toc 3"/>
    <w:basedOn w:val="Normal"/>
    <w:next w:val="Normal"/>
    <w:autoRedefine/>
    <w:uiPriority w:val="39"/>
    <w:qFormat/>
    <w:rsid w:val="001F046A"/>
    <w:pPr>
      <w:spacing w:after="0" w:line="240" w:lineRule="auto"/>
      <w:ind w:left="400"/>
    </w:pPr>
    <w:rPr>
      <w:rFonts w:eastAsia="Times New Roman" w:cs="Times New Roman"/>
      <w:i/>
      <w:iCs/>
      <w:szCs w:val="20"/>
      <w:lang w:bidi="ar-SA"/>
    </w:rPr>
  </w:style>
  <w:style w:type="paragraph" w:styleId="TOC4">
    <w:name w:val="toc 4"/>
    <w:basedOn w:val="Normal"/>
    <w:next w:val="Normal"/>
    <w:autoRedefine/>
    <w:uiPriority w:val="39"/>
    <w:rsid w:val="001F046A"/>
    <w:pPr>
      <w:spacing w:after="0" w:line="240" w:lineRule="auto"/>
      <w:ind w:left="600"/>
    </w:pPr>
    <w:rPr>
      <w:rFonts w:eastAsia="Times New Roman" w:cs="Times New Roman"/>
      <w:sz w:val="18"/>
      <w:szCs w:val="18"/>
      <w:lang w:bidi="ar-SA"/>
    </w:rPr>
  </w:style>
  <w:style w:type="paragraph" w:styleId="TOC5">
    <w:name w:val="toc 5"/>
    <w:basedOn w:val="Normal"/>
    <w:next w:val="Normal"/>
    <w:autoRedefine/>
    <w:uiPriority w:val="39"/>
    <w:unhideWhenUsed/>
    <w:rsid w:val="001F046A"/>
    <w:pPr>
      <w:spacing w:after="0" w:line="240" w:lineRule="auto"/>
      <w:ind w:left="800"/>
    </w:pPr>
    <w:rPr>
      <w:rFonts w:eastAsia="Times New Roman" w:cs="Times New Roman"/>
      <w:sz w:val="18"/>
      <w:szCs w:val="18"/>
      <w:lang w:bidi="ar-SA"/>
    </w:rPr>
  </w:style>
  <w:style w:type="paragraph" w:styleId="TOC6">
    <w:name w:val="toc 6"/>
    <w:basedOn w:val="Normal"/>
    <w:next w:val="Normal"/>
    <w:autoRedefine/>
    <w:uiPriority w:val="39"/>
    <w:unhideWhenUsed/>
    <w:rsid w:val="001F046A"/>
    <w:pPr>
      <w:spacing w:after="0" w:line="240" w:lineRule="auto"/>
      <w:ind w:left="1000"/>
    </w:pPr>
    <w:rPr>
      <w:rFonts w:eastAsia="Times New Roman" w:cs="Times New Roman"/>
      <w:sz w:val="18"/>
      <w:szCs w:val="18"/>
      <w:lang w:bidi="ar-SA"/>
    </w:rPr>
  </w:style>
  <w:style w:type="paragraph" w:styleId="TOC7">
    <w:name w:val="toc 7"/>
    <w:basedOn w:val="Normal"/>
    <w:next w:val="Normal"/>
    <w:autoRedefine/>
    <w:uiPriority w:val="39"/>
    <w:unhideWhenUsed/>
    <w:rsid w:val="001F046A"/>
    <w:pPr>
      <w:spacing w:after="0" w:line="240" w:lineRule="auto"/>
      <w:ind w:left="1200"/>
    </w:pPr>
    <w:rPr>
      <w:rFonts w:eastAsia="Times New Roman" w:cs="Times New Roman"/>
      <w:sz w:val="18"/>
      <w:szCs w:val="18"/>
      <w:lang w:bidi="ar-SA"/>
    </w:rPr>
  </w:style>
  <w:style w:type="paragraph" w:styleId="TOC8">
    <w:name w:val="toc 8"/>
    <w:basedOn w:val="Normal"/>
    <w:next w:val="Normal"/>
    <w:autoRedefine/>
    <w:uiPriority w:val="39"/>
    <w:unhideWhenUsed/>
    <w:rsid w:val="001F046A"/>
    <w:pPr>
      <w:spacing w:after="0" w:line="240" w:lineRule="auto"/>
      <w:ind w:left="1400"/>
    </w:pPr>
    <w:rPr>
      <w:rFonts w:eastAsia="Times New Roman" w:cs="Times New Roman"/>
      <w:sz w:val="18"/>
      <w:szCs w:val="18"/>
      <w:lang w:bidi="ar-SA"/>
    </w:rPr>
  </w:style>
  <w:style w:type="paragraph" w:styleId="TOC9">
    <w:name w:val="toc 9"/>
    <w:basedOn w:val="Normal"/>
    <w:next w:val="Normal"/>
    <w:autoRedefine/>
    <w:uiPriority w:val="39"/>
    <w:unhideWhenUsed/>
    <w:rsid w:val="001F046A"/>
    <w:pPr>
      <w:spacing w:after="0" w:line="240" w:lineRule="auto"/>
      <w:ind w:left="1600"/>
    </w:pPr>
    <w:rPr>
      <w:rFonts w:eastAsia="Times New Roman" w:cs="Times New Roman"/>
      <w:sz w:val="18"/>
      <w:szCs w:val="18"/>
      <w:lang w:bidi="ar-SA"/>
    </w:rPr>
  </w:style>
  <w:style w:type="paragraph" w:customStyle="1" w:styleId="CM8">
    <w:name w:val="CM8"/>
    <w:basedOn w:val="Normal"/>
    <w:next w:val="Normal"/>
    <w:uiPriority w:val="99"/>
    <w:rsid w:val="00295AE8"/>
    <w:pPr>
      <w:autoSpaceDE w:val="0"/>
      <w:autoSpaceDN w:val="0"/>
      <w:adjustRightInd w:val="0"/>
      <w:spacing w:after="0" w:line="240" w:lineRule="auto"/>
    </w:pPr>
    <w:rPr>
      <w:rFonts w:ascii="Times New Roman" w:hAnsi="Times New Roman" w:cs="Times New Roman"/>
      <w:sz w:val="24"/>
      <w:szCs w:val="24"/>
      <w:lang w:bidi="ar-SA"/>
    </w:rPr>
  </w:style>
  <w:style w:type="character" w:customStyle="1" w:styleId="nlmstring-name">
    <w:name w:val="nlm_string-name"/>
    <w:basedOn w:val="DefaultParagraphFont"/>
    <w:rsid w:val="00F259F9"/>
  </w:style>
  <w:style w:type="paragraph" w:styleId="PlainText">
    <w:name w:val="Plain Text"/>
    <w:basedOn w:val="Normal"/>
    <w:link w:val="PlainTextChar"/>
    <w:uiPriority w:val="99"/>
    <w:semiHidden/>
    <w:unhideWhenUsed/>
    <w:rsid w:val="00B0495B"/>
    <w:pPr>
      <w:spacing w:after="0" w:line="240" w:lineRule="auto"/>
    </w:pPr>
    <w:rPr>
      <w:rFonts w:ascii="Calibri" w:hAnsi="Calibri" w:cs="Times New Roman"/>
      <w:sz w:val="22"/>
      <w:lang w:bidi="ar-SA"/>
    </w:rPr>
  </w:style>
  <w:style w:type="character" w:customStyle="1" w:styleId="PlainTextChar">
    <w:name w:val="Plain Text Char"/>
    <w:basedOn w:val="DefaultParagraphFont"/>
    <w:link w:val="PlainText"/>
    <w:uiPriority w:val="99"/>
    <w:semiHidden/>
    <w:rsid w:val="00B0495B"/>
    <w:rPr>
      <w:rFonts w:ascii="Calibri" w:hAnsi="Calibri" w:cs="Times New Roman"/>
      <w:lang w:bidi="ar-SA"/>
    </w:rPr>
  </w:style>
  <w:style w:type="paragraph" w:customStyle="1" w:styleId="CDMLetterBULLET">
    <w:name w:val="CDM Letter/BULLET"/>
    <w:basedOn w:val="Normal"/>
    <w:rsid w:val="00AC1172"/>
    <w:pPr>
      <w:spacing w:after="240" w:line="280" w:lineRule="exact"/>
    </w:pPr>
    <w:rPr>
      <w:rFonts w:ascii="Calibri" w:hAnsi="Calibri" w:cs="Times New Roman"/>
      <w:sz w:val="22"/>
      <w:lang w:bidi="ar-SA"/>
    </w:rPr>
  </w:style>
  <w:style w:type="character" w:customStyle="1" w:styleId="CDMBTEXTChar1">
    <w:name w:val="CDM B/TEXT Char1"/>
    <w:basedOn w:val="DefaultParagraphFont"/>
    <w:link w:val="CDMBTEXT"/>
    <w:locked/>
    <w:rsid w:val="00AC1172"/>
    <w:rPr>
      <w:rFonts w:ascii="Book Antiqua" w:hAnsi="Book Antiqua"/>
    </w:rPr>
  </w:style>
  <w:style w:type="paragraph" w:customStyle="1" w:styleId="CDMBTEXT">
    <w:name w:val="CDM B/TEXT"/>
    <w:basedOn w:val="Normal"/>
    <w:link w:val="CDMBTEXTChar1"/>
    <w:rsid w:val="00AC1172"/>
    <w:pPr>
      <w:spacing w:after="240" w:line="280" w:lineRule="exact"/>
    </w:pPr>
    <w:rPr>
      <w:rFonts w:ascii="Book Antiqua" w:hAnsi="Book Antiqu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02195">
      <w:bodyDiv w:val="1"/>
      <w:marLeft w:val="0"/>
      <w:marRight w:val="0"/>
      <w:marTop w:val="0"/>
      <w:marBottom w:val="0"/>
      <w:divBdr>
        <w:top w:val="none" w:sz="0" w:space="0" w:color="auto"/>
        <w:left w:val="none" w:sz="0" w:space="0" w:color="auto"/>
        <w:bottom w:val="none" w:sz="0" w:space="0" w:color="auto"/>
        <w:right w:val="none" w:sz="0" w:space="0" w:color="auto"/>
      </w:divBdr>
      <w:divsChild>
        <w:div w:id="910693841">
          <w:marLeft w:val="0"/>
          <w:marRight w:val="0"/>
          <w:marTop w:val="0"/>
          <w:marBottom w:val="0"/>
          <w:divBdr>
            <w:top w:val="none" w:sz="0" w:space="0" w:color="auto"/>
            <w:left w:val="none" w:sz="0" w:space="0" w:color="auto"/>
            <w:bottom w:val="none" w:sz="0" w:space="0" w:color="auto"/>
            <w:right w:val="none" w:sz="0" w:space="0" w:color="auto"/>
          </w:divBdr>
          <w:divsChild>
            <w:div w:id="1170025598">
              <w:marLeft w:val="0"/>
              <w:marRight w:val="0"/>
              <w:marTop w:val="0"/>
              <w:marBottom w:val="0"/>
              <w:divBdr>
                <w:top w:val="none" w:sz="0" w:space="0" w:color="auto"/>
                <w:left w:val="none" w:sz="0" w:space="0" w:color="auto"/>
                <w:bottom w:val="none" w:sz="0" w:space="0" w:color="auto"/>
                <w:right w:val="none" w:sz="0" w:space="0" w:color="auto"/>
              </w:divBdr>
            </w:div>
            <w:div w:id="18434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5335">
      <w:bodyDiv w:val="1"/>
      <w:marLeft w:val="0"/>
      <w:marRight w:val="0"/>
      <w:marTop w:val="0"/>
      <w:marBottom w:val="0"/>
      <w:divBdr>
        <w:top w:val="none" w:sz="0" w:space="0" w:color="auto"/>
        <w:left w:val="none" w:sz="0" w:space="0" w:color="auto"/>
        <w:bottom w:val="none" w:sz="0" w:space="0" w:color="auto"/>
        <w:right w:val="none" w:sz="0" w:space="0" w:color="auto"/>
      </w:divBdr>
      <w:divsChild>
        <w:div w:id="1376344264">
          <w:marLeft w:val="0"/>
          <w:marRight w:val="0"/>
          <w:marTop w:val="0"/>
          <w:marBottom w:val="0"/>
          <w:divBdr>
            <w:top w:val="none" w:sz="0" w:space="0" w:color="auto"/>
            <w:left w:val="none" w:sz="0" w:space="0" w:color="auto"/>
            <w:bottom w:val="none" w:sz="0" w:space="0" w:color="auto"/>
            <w:right w:val="none" w:sz="0" w:space="0" w:color="auto"/>
          </w:divBdr>
          <w:divsChild>
            <w:div w:id="1330599524">
              <w:marLeft w:val="0"/>
              <w:marRight w:val="0"/>
              <w:marTop w:val="0"/>
              <w:marBottom w:val="0"/>
              <w:divBdr>
                <w:top w:val="none" w:sz="0" w:space="0" w:color="auto"/>
                <w:left w:val="none" w:sz="0" w:space="0" w:color="auto"/>
                <w:bottom w:val="none" w:sz="0" w:space="0" w:color="auto"/>
                <w:right w:val="none" w:sz="0" w:space="0" w:color="auto"/>
              </w:divBdr>
            </w:div>
            <w:div w:id="20813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9017">
      <w:bodyDiv w:val="1"/>
      <w:marLeft w:val="0"/>
      <w:marRight w:val="0"/>
      <w:marTop w:val="0"/>
      <w:marBottom w:val="0"/>
      <w:divBdr>
        <w:top w:val="none" w:sz="0" w:space="0" w:color="auto"/>
        <w:left w:val="none" w:sz="0" w:space="0" w:color="auto"/>
        <w:bottom w:val="none" w:sz="0" w:space="0" w:color="auto"/>
        <w:right w:val="none" w:sz="0" w:space="0" w:color="auto"/>
      </w:divBdr>
    </w:div>
    <w:div w:id="598682436">
      <w:bodyDiv w:val="1"/>
      <w:marLeft w:val="0"/>
      <w:marRight w:val="0"/>
      <w:marTop w:val="0"/>
      <w:marBottom w:val="0"/>
      <w:divBdr>
        <w:top w:val="none" w:sz="0" w:space="0" w:color="auto"/>
        <w:left w:val="none" w:sz="0" w:space="0" w:color="auto"/>
        <w:bottom w:val="none" w:sz="0" w:space="0" w:color="auto"/>
        <w:right w:val="none" w:sz="0" w:space="0" w:color="auto"/>
      </w:divBdr>
    </w:div>
    <w:div w:id="655114747">
      <w:bodyDiv w:val="1"/>
      <w:marLeft w:val="0"/>
      <w:marRight w:val="0"/>
      <w:marTop w:val="0"/>
      <w:marBottom w:val="0"/>
      <w:divBdr>
        <w:top w:val="none" w:sz="0" w:space="0" w:color="auto"/>
        <w:left w:val="none" w:sz="0" w:space="0" w:color="auto"/>
        <w:bottom w:val="none" w:sz="0" w:space="0" w:color="auto"/>
        <w:right w:val="none" w:sz="0" w:space="0" w:color="auto"/>
      </w:divBdr>
    </w:div>
    <w:div w:id="677971247">
      <w:bodyDiv w:val="1"/>
      <w:marLeft w:val="0"/>
      <w:marRight w:val="0"/>
      <w:marTop w:val="0"/>
      <w:marBottom w:val="0"/>
      <w:divBdr>
        <w:top w:val="none" w:sz="0" w:space="0" w:color="auto"/>
        <w:left w:val="none" w:sz="0" w:space="0" w:color="auto"/>
        <w:bottom w:val="none" w:sz="0" w:space="0" w:color="auto"/>
        <w:right w:val="none" w:sz="0" w:space="0" w:color="auto"/>
      </w:divBdr>
    </w:div>
    <w:div w:id="933900936">
      <w:bodyDiv w:val="1"/>
      <w:marLeft w:val="0"/>
      <w:marRight w:val="0"/>
      <w:marTop w:val="0"/>
      <w:marBottom w:val="0"/>
      <w:divBdr>
        <w:top w:val="none" w:sz="0" w:space="0" w:color="auto"/>
        <w:left w:val="none" w:sz="0" w:space="0" w:color="auto"/>
        <w:bottom w:val="none" w:sz="0" w:space="0" w:color="auto"/>
        <w:right w:val="none" w:sz="0" w:space="0" w:color="auto"/>
      </w:divBdr>
    </w:div>
    <w:div w:id="956832136">
      <w:bodyDiv w:val="1"/>
      <w:marLeft w:val="0"/>
      <w:marRight w:val="0"/>
      <w:marTop w:val="0"/>
      <w:marBottom w:val="0"/>
      <w:divBdr>
        <w:top w:val="none" w:sz="0" w:space="0" w:color="auto"/>
        <w:left w:val="none" w:sz="0" w:space="0" w:color="auto"/>
        <w:bottom w:val="none" w:sz="0" w:space="0" w:color="auto"/>
        <w:right w:val="none" w:sz="0" w:space="0" w:color="auto"/>
      </w:divBdr>
      <w:divsChild>
        <w:div w:id="1143158376">
          <w:marLeft w:val="0"/>
          <w:marRight w:val="0"/>
          <w:marTop w:val="0"/>
          <w:marBottom w:val="0"/>
          <w:divBdr>
            <w:top w:val="none" w:sz="0" w:space="0" w:color="auto"/>
            <w:left w:val="none" w:sz="0" w:space="0" w:color="auto"/>
            <w:bottom w:val="none" w:sz="0" w:space="0" w:color="auto"/>
            <w:right w:val="none" w:sz="0" w:space="0" w:color="auto"/>
          </w:divBdr>
          <w:divsChild>
            <w:div w:id="510802673">
              <w:marLeft w:val="0"/>
              <w:marRight w:val="0"/>
              <w:marTop w:val="0"/>
              <w:marBottom w:val="0"/>
              <w:divBdr>
                <w:top w:val="none" w:sz="0" w:space="0" w:color="auto"/>
                <w:left w:val="none" w:sz="0" w:space="0" w:color="auto"/>
                <w:bottom w:val="none" w:sz="0" w:space="0" w:color="auto"/>
                <w:right w:val="none" w:sz="0" w:space="0" w:color="auto"/>
              </w:divBdr>
              <w:divsChild>
                <w:div w:id="1016420165">
                  <w:marLeft w:val="0"/>
                  <w:marRight w:val="0"/>
                  <w:marTop w:val="0"/>
                  <w:marBottom w:val="0"/>
                  <w:divBdr>
                    <w:top w:val="none" w:sz="0" w:space="0" w:color="auto"/>
                    <w:left w:val="none" w:sz="0" w:space="0" w:color="auto"/>
                    <w:bottom w:val="none" w:sz="0" w:space="0" w:color="auto"/>
                    <w:right w:val="none" w:sz="0" w:space="0" w:color="auto"/>
                  </w:divBdr>
                  <w:divsChild>
                    <w:div w:id="482552456">
                      <w:marLeft w:val="0"/>
                      <w:marRight w:val="0"/>
                      <w:marTop w:val="0"/>
                      <w:marBottom w:val="0"/>
                      <w:divBdr>
                        <w:top w:val="none" w:sz="0" w:space="0" w:color="auto"/>
                        <w:left w:val="none" w:sz="0" w:space="0" w:color="auto"/>
                        <w:bottom w:val="none" w:sz="0" w:space="0" w:color="auto"/>
                        <w:right w:val="none" w:sz="0" w:space="0" w:color="auto"/>
                      </w:divBdr>
                      <w:divsChild>
                        <w:div w:id="721057044">
                          <w:marLeft w:val="0"/>
                          <w:marRight w:val="0"/>
                          <w:marTop w:val="0"/>
                          <w:marBottom w:val="0"/>
                          <w:divBdr>
                            <w:top w:val="none" w:sz="0" w:space="0" w:color="auto"/>
                            <w:left w:val="none" w:sz="0" w:space="0" w:color="auto"/>
                            <w:bottom w:val="none" w:sz="0" w:space="0" w:color="auto"/>
                            <w:right w:val="none" w:sz="0" w:space="0" w:color="auto"/>
                          </w:divBdr>
                          <w:divsChild>
                            <w:div w:id="1150748583">
                              <w:marLeft w:val="0"/>
                              <w:marRight w:val="0"/>
                              <w:marTop w:val="0"/>
                              <w:marBottom w:val="0"/>
                              <w:divBdr>
                                <w:top w:val="none" w:sz="0" w:space="0" w:color="auto"/>
                                <w:left w:val="none" w:sz="0" w:space="0" w:color="auto"/>
                                <w:bottom w:val="none" w:sz="0" w:space="0" w:color="auto"/>
                                <w:right w:val="none" w:sz="0" w:space="0" w:color="auto"/>
                              </w:divBdr>
                              <w:divsChild>
                                <w:div w:id="326783897">
                                  <w:marLeft w:val="0"/>
                                  <w:marRight w:val="0"/>
                                  <w:marTop w:val="0"/>
                                  <w:marBottom w:val="0"/>
                                  <w:divBdr>
                                    <w:top w:val="none" w:sz="0" w:space="0" w:color="auto"/>
                                    <w:left w:val="none" w:sz="0" w:space="0" w:color="auto"/>
                                    <w:bottom w:val="none" w:sz="0" w:space="0" w:color="auto"/>
                                    <w:right w:val="none" w:sz="0" w:space="0" w:color="auto"/>
                                  </w:divBdr>
                                  <w:divsChild>
                                    <w:div w:id="241985103">
                                      <w:marLeft w:val="0"/>
                                      <w:marRight w:val="0"/>
                                      <w:marTop w:val="0"/>
                                      <w:marBottom w:val="0"/>
                                      <w:divBdr>
                                        <w:top w:val="none" w:sz="0" w:space="0" w:color="auto"/>
                                        <w:left w:val="none" w:sz="0" w:space="0" w:color="auto"/>
                                        <w:bottom w:val="none" w:sz="0" w:space="0" w:color="auto"/>
                                        <w:right w:val="none" w:sz="0" w:space="0" w:color="auto"/>
                                      </w:divBdr>
                                      <w:divsChild>
                                        <w:div w:id="1556088449">
                                          <w:marLeft w:val="0"/>
                                          <w:marRight w:val="0"/>
                                          <w:marTop w:val="0"/>
                                          <w:marBottom w:val="0"/>
                                          <w:divBdr>
                                            <w:top w:val="none" w:sz="0" w:space="0" w:color="auto"/>
                                            <w:left w:val="none" w:sz="0" w:space="0" w:color="auto"/>
                                            <w:bottom w:val="none" w:sz="0" w:space="0" w:color="auto"/>
                                            <w:right w:val="none" w:sz="0" w:space="0" w:color="auto"/>
                                          </w:divBdr>
                                          <w:divsChild>
                                            <w:div w:id="990788745">
                                              <w:marLeft w:val="0"/>
                                              <w:marRight w:val="0"/>
                                              <w:marTop w:val="0"/>
                                              <w:marBottom w:val="0"/>
                                              <w:divBdr>
                                                <w:top w:val="none" w:sz="0" w:space="0" w:color="auto"/>
                                                <w:left w:val="none" w:sz="0" w:space="0" w:color="auto"/>
                                                <w:bottom w:val="none" w:sz="0" w:space="0" w:color="auto"/>
                                                <w:right w:val="none" w:sz="0" w:space="0" w:color="auto"/>
                                              </w:divBdr>
                                              <w:divsChild>
                                                <w:div w:id="776801986">
                                                  <w:marLeft w:val="0"/>
                                                  <w:marRight w:val="0"/>
                                                  <w:marTop w:val="0"/>
                                                  <w:marBottom w:val="0"/>
                                                  <w:divBdr>
                                                    <w:top w:val="none" w:sz="0" w:space="0" w:color="auto"/>
                                                    <w:left w:val="none" w:sz="0" w:space="0" w:color="auto"/>
                                                    <w:bottom w:val="none" w:sz="0" w:space="0" w:color="auto"/>
                                                    <w:right w:val="none" w:sz="0" w:space="0" w:color="auto"/>
                                                  </w:divBdr>
                                                  <w:divsChild>
                                                    <w:div w:id="110704925">
                                                      <w:marLeft w:val="0"/>
                                                      <w:marRight w:val="0"/>
                                                      <w:marTop w:val="0"/>
                                                      <w:marBottom w:val="0"/>
                                                      <w:divBdr>
                                                        <w:top w:val="none" w:sz="0" w:space="0" w:color="auto"/>
                                                        <w:left w:val="none" w:sz="0" w:space="0" w:color="auto"/>
                                                        <w:bottom w:val="none" w:sz="0" w:space="0" w:color="auto"/>
                                                        <w:right w:val="none" w:sz="0" w:space="0" w:color="auto"/>
                                                      </w:divBdr>
                                                      <w:divsChild>
                                                        <w:div w:id="771559542">
                                                          <w:marLeft w:val="0"/>
                                                          <w:marRight w:val="0"/>
                                                          <w:marTop w:val="0"/>
                                                          <w:marBottom w:val="0"/>
                                                          <w:divBdr>
                                                            <w:top w:val="none" w:sz="0" w:space="0" w:color="auto"/>
                                                            <w:left w:val="none" w:sz="0" w:space="0" w:color="auto"/>
                                                            <w:bottom w:val="none" w:sz="0" w:space="0" w:color="auto"/>
                                                            <w:right w:val="none" w:sz="0" w:space="0" w:color="auto"/>
                                                          </w:divBdr>
                                                          <w:divsChild>
                                                            <w:div w:id="851576500">
                                                              <w:marLeft w:val="0"/>
                                                              <w:marRight w:val="0"/>
                                                              <w:marTop w:val="0"/>
                                                              <w:marBottom w:val="0"/>
                                                              <w:divBdr>
                                                                <w:top w:val="none" w:sz="0" w:space="0" w:color="auto"/>
                                                                <w:left w:val="none" w:sz="0" w:space="0" w:color="auto"/>
                                                                <w:bottom w:val="none" w:sz="0" w:space="0" w:color="auto"/>
                                                                <w:right w:val="none" w:sz="0" w:space="0" w:color="auto"/>
                                                              </w:divBdr>
                                                            </w:div>
                                                            <w:div w:id="106236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8678471">
      <w:bodyDiv w:val="1"/>
      <w:marLeft w:val="0"/>
      <w:marRight w:val="0"/>
      <w:marTop w:val="0"/>
      <w:marBottom w:val="0"/>
      <w:divBdr>
        <w:top w:val="none" w:sz="0" w:space="0" w:color="auto"/>
        <w:left w:val="none" w:sz="0" w:space="0" w:color="auto"/>
        <w:bottom w:val="none" w:sz="0" w:space="0" w:color="auto"/>
        <w:right w:val="none" w:sz="0" w:space="0" w:color="auto"/>
      </w:divBdr>
      <w:divsChild>
        <w:div w:id="4523518">
          <w:marLeft w:val="0"/>
          <w:marRight w:val="0"/>
          <w:marTop w:val="0"/>
          <w:marBottom w:val="0"/>
          <w:divBdr>
            <w:top w:val="none" w:sz="0" w:space="0" w:color="auto"/>
            <w:left w:val="none" w:sz="0" w:space="0" w:color="auto"/>
            <w:bottom w:val="none" w:sz="0" w:space="0" w:color="auto"/>
            <w:right w:val="none" w:sz="0" w:space="0" w:color="auto"/>
          </w:divBdr>
        </w:div>
        <w:div w:id="549999083">
          <w:marLeft w:val="0"/>
          <w:marRight w:val="0"/>
          <w:marTop w:val="0"/>
          <w:marBottom w:val="0"/>
          <w:divBdr>
            <w:top w:val="none" w:sz="0" w:space="0" w:color="auto"/>
            <w:left w:val="none" w:sz="0" w:space="0" w:color="auto"/>
            <w:bottom w:val="none" w:sz="0" w:space="0" w:color="auto"/>
            <w:right w:val="none" w:sz="0" w:space="0" w:color="auto"/>
          </w:divBdr>
        </w:div>
        <w:div w:id="581715440">
          <w:marLeft w:val="0"/>
          <w:marRight w:val="0"/>
          <w:marTop w:val="0"/>
          <w:marBottom w:val="0"/>
          <w:divBdr>
            <w:top w:val="none" w:sz="0" w:space="0" w:color="auto"/>
            <w:left w:val="none" w:sz="0" w:space="0" w:color="auto"/>
            <w:bottom w:val="none" w:sz="0" w:space="0" w:color="auto"/>
            <w:right w:val="none" w:sz="0" w:space="0" w:color="auto"/>
          </w:divBdr>
        </w:div>
        <w:div w:id="915475758">
          <w:marLeft w:val="0"/>
          <w:marRight w:val="0"/>
          <w:marTop w:val="0"/>
          <w:marBottom w:val="0"/>
          <w:divBdr>
            <w:top w:val="none" w:sz="0" w:space="0" w:color="auto"/>
            <w:left w:val="none" w:sz="0" w:space="0" w:color="auto"/>
            <w:bottom w:val="none" w:sz="0" w:space="0" w:color="auto"/>
            <w:right w:val="none" w:sz="0" w:space="0" w:color="auto"/>
          </w:divBdr>
        </w:div>
        <w:div w:id="920287570">
          <w:marLeft w:val="0"/>
          <w:marRight w:val="0"/>
          <w:marTop w:val="0"/>
          <w:marBottom w:val="0"/>
          <w:divBdr>
            <w:top w:val="none" w:sz="0" w:space="0" w:color="auto"/>
            <w:left w:val="none" w:sz="0" w:space="0" w:color="auto"/>
            <w:bottom w:val="none" w:sz="0" w:space="0" w:color="auto"/>
            <w:right w:val="none" w:sz="0" w:space="0" w:color="auto"/>
          </w:divBdr>
        </w:div>
        <w:div w:id="925380723">
          <w:marLeft w:val="0"/>
          <w:marRight w:val="0"/>
          <w:marTop w:val="0"/>
          <w:marBottom w:val="0"/>
          <w:divBdr>
            <w:top w:val="none" w:sz="0" w:space="0" w:color="auto"/>
            <w:left w:val="none" w:sz="0" w:space="0" w:color="auto"/>
            <w:bottom w:val="none" w:sz="0" w:space="0" w:color="auto"/>
            <w:right w:val="none" w:sz="0" w:space="0" w:color="auto"/>
          </w:divBdr>
        </w:div>
        <w:div w:id="927932890">
          <w:marLeft w:val="0"/>
          <w:marRight w:val="0"/>
          <w:marTop w:val="0"/>
          <w:marBottom w:val="0"/>
          <w:divBdr>
            <w:top w:val="none" w:sz="0" w:space="0" w:color="auto"/>
            <w:left w:val="none" w:sz="0" w:space="0" w:color="auto"/>
            <w:bottom w:val="none" w:sz="0" w:space="0" w:color="auto"/>
            <w:right w:val="none" w:sz="0" w:space="0" w:color="auto"/>
          </w:divBdr>
        </w:div>
        <w:div w:id="988486157">
          <w:marLeft w:val="0"/>
          <w:marRight w:val="0"/>
          <w:marTop w:val="0"/>
          <w:marBottom w:val="0"/>
          <w:divBdr>
            <w:top w:val="none" w:sz="0" w:space="0" w:color="auto"/>
            <w:left w:val="none" w:sz="0" w:space="0" w:color="auto"/>
            <w:bottom w:val="none" w:sz="0" w:space="0" w:color="auto"/>
            <w:right w:val="none" w:sz="0" w:space="0" w:color="auto"/>
          </w:divBdr>
        </w:div>
        <w:div w:id="1147435458">
          <w:marLeft w:val="0"/>
          <w:marRight w:val="0"/>
          <w:marTop w:val="0"/>
          <w:marBottom w:val="0"/>
          <w:divBdr>
            <w:top w:val="none" w:sz="0" w:space="0" w:color="auto"/>
            <w:left w:val="none" w:sz="0" w:space="0" w:color="auto"/>
            <w:bottom w:val="none" w:sz="0" w:space="0" w:color="auto"/>
            <w:right w:val="none" w:sz="0" w:space="0" w:color="auto"/>
          </w:divBdr>
        </w:div>
        <w:div w:id="1285035731">
          <w:marLeft w:val="0"/>
          <w:marRight w:val="0"/>
          <w:marTop w:val="0"/>
          <w:marBottom w:val="0"/>
          <w:divBdr>
            <w:top w:val="none" w:sz="0" w:space="0" w:color="auto"/>
            <w:left w:val="none" w:sz="0" w:space="0" w:color="auto"/>
            <w:bottom w:val="none" w:sz="0" w:space="0" w:color="auto"/>
            <w:right w:val="none" w:sz="0" w:space="0" w:color="auto"/>
          </w:divBdr>
        </w:div>
        <w:div w:id="1413963834">
          <w:marLeft w:val="0"/>
          <w:marRight w:val="0"/>
          <w:marTop w:val="0"/>
          <w:marBottom w:val="0"/>
          <w:divBdr>
            <w:top w:val="none" w:sz="0" w:space="0" w:color="auto"/>
            <w:left w:val="none" w:sz="0" w:space="0" w:color="auto"/>
            <w:bottom w:val="none" w:sz="0" w:space="0" w:color="auto"/>
            <w:right w:val="none" w:sz="0" w:space="0" w:color="auto"/>
          </w:divBdr>
        </w:div>
        <w:div w:id="1799956861">
          <w:marLeft w:val="0"/>
          <w:marRight w:val="0"/>
          <w:marTop w:val="0"/>
          <w:marBottom w:val="0"/>
          <w:divBdr>
            <w:top w:val="none" w:sz="0" w:space="0" w:color="auto"/>
            <w:left w:val="none" w:sz="0" w:space="0" w:color="auto"/>
            <w:bottom w:val="none" w:sz="0" w:space="0" w:color="auto"/>
            <w:right w:val="none" w:sz="0" w:space="0" w:color="auto"/>
          </w:divBdr>
        </w:div>
        <w:div w:id="1886334875">
          <w:marLeft w:val="0"/>
          <w:marRight w:val="0"/>
          <w:marTop w:val="0"/>
          <w:marBottom w:val="0"/>
          <w:divBdr>
            <w:top w:val="none" w:sz="0" w:space="0" w:color="auto"/>
            <w:left w:val="none" w:sz="0" w:space="0" w:color="auto"/>
            <w:bottom w:val="none" w:sz="0" w:space="0" w:color="auto"/>
            <w:right w:val="none" w:sz="0" w:space="0" w:color="auto"/>
          </w:divBdr>
        </w:div>
        <w:div w:id="2069456946">
          <w:marLeft w:val="0"/>
          <w:marRight w:val="0"/>
          <w:marTop w:val="0"/>
          <w:marBottom w:val="0"/>
          <w:divBdr>
            <w:top w:val="none" w:sz="0" w:space="0" w:color="auto"/>
            <w:left w:val="none" w:sz="0" w:space="0" w:color="auto"/>
            <w:bottom w:val="none" w:sz="0" w:space="0" w:color="auto"/>
            <w:right w:val="none" w:sz="0" w:space="0" w:color="auto"/>
          </w:divBdr>
        </w:div>
      </w:divsChild>
    </w:div>
    <w:div w:id="200497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ormwater.pca.state.mn.us/index.php/Glossary" TargetMode="External"/><Relationship Id="rId117" Type="http://schemas.openxmlformats.org/officeDocument/2006/relationships/theme" Target="theme/theme1.xml"/><Relationship Id="rId21" Type="http://schemas.openxmlformats.org/officeDocument/2006/relationships/hyperlink" Target="http://stormwater.pca.state.mn.us/index.php/Construction_stormwater_permit" TargetMode="External"/><Relationship Id="rId42" Type="http://schemas.openxmlformats.org/officeDocument/2006/relationships/image" Target="media/image4.png"/><Relationship Id="rId47" Type="http://schemas.openxmlformats.org/officeDocument/2006/relationships/hyperlink" Target="http://conservancy.umn.edu/bitstream/handle/11299/58436/sinkholes%5B1%5D.pdf?sequence=4&amp;isAllowed=y" TargetMode="External"/><Relationship Id="rId63" Type="http://schemas.openxmlformats.org/officeDocument/2006/relationships/image" Target="media/image8.jpeg"/><Relationship Id="rId68" Type="http://schemas.openxmlformats.org/officeDocument/2006/relationships/hyperlink" Target="http://tnpermanentstormwater.org/manual.asp" TargetMode="External"/><Relationship Id="rId84" Type="http://schemas.openxmlformats.org/officeDocument/2006/relationships/hyperlink" Target="http://www.pca.state.mn.us/index.php/data/wimn-whats-in-my-neighborhood/whats-in-my-neighborhood.html" TargetMode="External"/><Relationship Id="rId89" Type="http://schemas.openxmlformats.org/officeDocument/2006/relationships/image" Target="media/image9.png"/><Relationship Id="rId112" Type="http://schemas.openxmlformats.org/officeDocument/2006/relationships/footer" Target="footer5.xml"/><Relationship Id="rId16" Type="http://schemas.openxmlformats.org/officeDocument/2006/relationships/hyperlink" Target="http://stormwater.pca.state.mn.us/index.php/BMP_design_considerations_for_ground_water_aquifer_protection" TargetMode="External"/><Relationship Id="rId107" Type="http://schemas.openxmlformats.org/officeDocument/2006/relationships/hyperlink" Target="http://stormwater.pca.state.mn.us/index.php/Soil_amendments_to_enhance_phosphorus_sorption" TargetMode="External"/><Relationship Id="rId11" Type="http://schemas.openxmlformats.org/officeDocument/2006/relationships/hyperlink" Target="http://www.pca.state.mn.us/index.php/water/water-types-and-programs/stormwater/construction-stormwater/index.html" TargetMode="External"/><Relationship Id="rId32" Type="http://schemas.openxmlformats.org/officeDocument/2006/relationships/header" Target="header1.xml"/><Relationship Id="rId37" Type="http://schemas.openxmlformats.org/officeDocument/2006/relationships/footer" Target="footer3.xml"/><Relationship Id="rId53" Type="http://schemas.openxmlformats.org/officeDocument/2006/relationships/hyperlink" Target="http://files.dnr.state.mn.us/waters/groundwater_section/mapping/cga/c11_mower/pdf_files/plate10.pdf" TargetMode="External"/><Relationship Id="rId58" Type="http://schemas.openxmlformats.org/officeDocument/2006/relationships/hyperlink" Target="http://water.usgs.gov/ogw/karst/pages/whatiskarst" TargetMode="External"/><Relationship Id="rId74" Type="http://schemas.openxmlformats.org/officeDocument/2006/relationships/hyperlink" Target="http://scholarcommons.usf.edu/cgi/viewcontent.cgi?article=1109&amp;context=sinkhole_2013" TargetMode="External"/><Relationship Id="rId79" Type="http://schemas.openxmlformats.org/officeDocument/2006/relationships/hyperlink" Target="http://www.epa.gov/region2/waste/dupont_pompton/pdf/RCRAvsSuperfund_factsheet.pdf" TargetMode="External"/><Relationship Id="rId102" Type="http://schemas.openxmlformats.org/officeDocument/2006/relationships/hyperlink" Target="http://www.health.state.mn.us/divs/eh/water/swp/maps/index.htm" TargetMode="External"/><Relationship Id="rId5" Type="http://schemas.openxmlformats.org/officeDocument/2006/relationships/numbering" Target="numbering.xml"/><Relationship Id="rId90" Type="http://schemas.openxmlformats.org/officeDocument/2006/relationships/hyperlink" Target="http://www.pca.state.mn.us/index.php/view-document.html?gid=19473" TargetMode="External"/><Relationship Id="rId95" Type="http://schemas.openxmlformats.org/officeDocument/2006/relationships/hyperlink" Target="http://www.epa.gov/brownfields/tools/swcs0408.pdf" TargetMode="External"/><Relationship Id="rId22" Type="http://schemas.openxmlformats.org/officeDocument/2006/relationships/image" Target="media/image2.png"/><Relationship Id="rId27" Type="http://schemas.openxmlformats.org/officeDocument/2006/relationships/hyperlink" Target="http://stormwater.pca.state.mn.us/index.php/III._STORMWATER_DISCHARGE_DESIGN_REQUIREMENTS" TargetMode="External"/><Relationship Id="rId43" Type="http://schemas.openxmlformats.org/officeDocument/2006/relationships/hyperlink" Target="http://www.epa.gov/safewater/sourcewater/pubs/fs_swpp_stormwater.pdf" TargetMode="External"/><Relationship Id="rId48" Type="http://schemas.openxmlformats.org/officeDocument/2006/relationships/hyperlink" Target="http://conservancy.umn.edu/bitstream/handle/11299/58557/plate5%5B1%5D.pdf?sequence=5&amp;isAllowed=y" TargetMode="External"/><Relationship Id="rId64" Type="http://schemas.openxmlformats.org/officeDocument/2006/relationships/hyperlink" Target="http://tnpermanentstormwater.org/manual/27%20Appendix%20B%20Stormwater%20Design%20Guidelines%20for%20Karst%20Terrain.pdf" TargetMode="External"/><Relationship Id="rId69" Type="http://schemas.openxmlformats.org/officeDocument/2006/relationships/hyperlink" Target="http://chesapeakestormwater.net/training-library/design-adaptations/stormwater-in-karst-topography/" TargetMode="External"/><Relationship Id="rId113" Type="http://schemas.openxmlformats.org/officeDocument/2006/relationships/footer" Target="footer6.xml"/><Relationship Id="rId80" Type="http://schemas.openxmlformats.org/officeDocument/2006/relationships/hyperlink" Target="http://www.epa.gov/superfund/sites/npl/index.htm" TargetMode="External"/><Relationship Id="rId85" Type="http://schemas.openxmlformats.org/officeDocument/2006/relationships/hyperlink" Target="https://www.revisor.mn.gov/rules/?id=7060" TargetMode="External"/><Relationship Id="rId12" Type="http://schemas.openxmlformats.org/officeDocument/2006/relationships/image" Target="media/image1.jpg"/><Relationship Id="rId17" Type="http://schemas.openxmlformats.org/officeDocument/2006/relationships/hyperlink" Target="http://stormwater.pca.state.mn.us/index.php/Design_criteria_for_Infiltration_basin" TargetMode="External"/><Relationship Id="rId33" Type="http://schemas.openxmlformats.org/officeDocument/2006/relationships/header" Target="header2.xml"/><Relationship Id="rId38" Type="http://schemas.openxmlformats.org/officeDocument/2006/relationships/header" Target="header4.xml"/><Relationship Id="rId59" Type="http://schemas.openxmlformats.org/officeDocument/2006/relationships/hyperlink" Target="http://www.pca.state.mn.us/index.php/water/water-types-and-programs/groundwater/groundwater-basics/karst-in-minnesota.html" TargetMode="External"/><Relationship Id="rId103" Type="http://schemas.openxmlformats.org/officeDocument/2006/relationships/hyperlink" Target="http://www.cwp.org/online-watershed-library/doc_download/459-urban-subwatershed-and-site-reconnaissance-field-forms" TargetMode="External"/><Relationship Id="rId108" Type="http://schemas.openxmlformats.org/officeDocument/2006/relationships/hyperlink" Target="http://stormwater.pca.state.mn.us/index.php/Design_criteria_for_bioretention" TargetMode="External"/><Relationship Id="rId54" Type="http://schemas.openxmlformats.org/officeDocument/2006/relationships/hyperlink" Target="http://conservancy.umn.edu/bitstream/handle/11299/58554/plate6%5B2%5D.pdf?sequence=4&amp;isAllowed=y" TargetMode="External"/><Relationship Id="rId70" Type="http://schemas.openxmlformats.org/officeDocument/2006/relationships/hyperlink" Target="http://www.dep.wv.gov/WWE/Programs/stormwater/MS4/Documents/Appendix_C_Stormwater_Mgmt_Design_Karst_WV-SW-11-2012.pdf" TargetMode="External"/><Relationship Id="rId75" Type="http://schemas.openxmlformats.org/officeDocument/2006/relationships/hyperlink" Target="http://semanticommunity.info/@api/deki/files/838/=BobDenton09172008.pdf" TargetMode="External"/><Relationship Id="rId91" Type="http://schemas.openxmlformats.org/officeDocument/2006/relationships/hyperlink" Target="http://www.epa.gov/emefdata/em4ef.home" TargetMode="External"/><Relationship Id="rId96" Type="http://schemas.openxmlformats.org/officeDocument/2006/relationships/hyperlink" Target="http://www.dem.ri.gov/programs/benviron/water/permits/swcoord/pdf/wastswgu.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tormwater.pca.state.mn.us/index.php/BMP_use_in_settings_with_shallow_soils_and_shallow_depth_to_bedrock" TargetMode="External"/><Relationship Id="rId28" Type="http://schemas.openxmlformats.org/officeDocument/2006/relationships/hyperlink" Target="http://stormwater.pca.state.mn.us/index.php/Glossary" TargetMode="External"/><Relationship Id="rId49" Type="http://schemas.openxmlformats.org/officeDocument/2006/relationships/hyperlink" Target="http://files.dnr.state.mn.us/waters/groundwater_section/mapping/cga/c08_fillmore/pdf_files/plate08.pdf" TargetMode="External"/><Relationship Id="rId114" Type="http://schemas.openxmlformats.org/officeDocument/2006/relationships/header" Target="header8.xml"/><Relationship Id="rId10" Type="http://schemas.openxmlformats.org/officeDocument/2006/relationships/endnotes" Target="endnotes.xml"/><Relationship Id="rId31" Type="http://schemas.openxmlformats.org/officeDocument/2006/relationships/hyperlink" Target="http://stormwater.pca.state.mn.us/index.php/Green_roofs" TargetMode="External"/><Relationship Id="rId44" Type="http://schemas.openxmlformats.org/officeDocument/2006/relationships/hyperlink" Target="https://www.revisor.mn.gov/rules/?id=6120.3300" TargetMode="External"/><Relationship Id="rId52" Type="http://schemas.openxmlformats.org/officeDocument/2006/relationships/hyperlink" Target="https://server16022.contentdm.oclc.org/cdm4/item_viewer.php?CISOROOT=/mgs&amp;CISOPTR=623&amp;CISOBOX=1&amp;REC=3" TargetMode="External"/><Relationship Id="rId60" Type="http://schemas.openxmlformats.org/officeDocument/2006/relationships/hyperlink" Target="http://www.mngs.umn.edu/indx.html" TargetMode="External"/><Relationship Id="rId65" Type="http://schemas.openxmlformats.org/officeDocument/2006/relationships/hyperlink" Target="http://tnpermanentstormwater.org/manual.asp" TargetMode="External"/><Relationship Id="rId73" Type="http://schemas.openxmlformats.org/officeDocument/2006/relationships/hyperlink" Target="http://digitalcommons.wku.edu/cgi/viewcontent.cgi?article=2414&amp;context=theses" TargetMode="External"/><Relationship Id="rId78" Type="http://schemas.openxmlformats.org/officeDocument/2006/relationships/hyperlink" Target="http://www.epa.gov/brownfields/tools/ec_information_guide.pdf" TargetMode="External"/><Relationship Id="rId81" Type="http://schemas.openxmlformats.org/officeDocument/2006/relationships/hyperlink" Target="http://www.pca.state.mn.us/index.php/waste/waste-and-cleanup/cleanup/superfund/superfund-site-search.html" TargetMode="External"/><Relationship Id="rId86" Type="http://schemas.openxmlformats.org/officeDocument/2006/relationships/hyperlink" Target="http://www.pca.state.mn.us/index.php/view-document.html?gid=18901" TargetMode="External"/><Relationship Id="rId94" Type="http://schemas.openxmlformats.org/officeDocument/2006/relationships/hyperlink" Target="http://www.epa.gov/brownfields/tools/swdp0408.pdf" TargetMode="External"/><Relationship Id="rId99" Type="http://schemas.openxmlformats.org/officeDocument/2006/relationships/hyperlink" Target="http://louisville.edu/cepm/projects/sustainable-community-capacity-building/green-infrastructure-on-brownfields" TargetMode="External"/><Relationship Id="rId10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tp://ftp-fc.sc.egov.usda.gov/WLI/1212OldWLIfromUSGS/wli/Training/REDOX.PDF" TargetMode="External"/><Relationship Id="rId18" Type="http://schemas.openxmlformats.org/officeDocument/2006/relationships/hyperlink" Target="http://www.trca.on.ca/dotAsset/83077.pdf" TargetMode="External"/><Relationship Id="rId39" Type="http://schemas.openxmlformats.org/officeDocument/2006/relationships/header" Target="header5.xml"/><Relationship Id="rId109" Type="http://schemas.openxmlformats.org/officeDocument/2006/relationships/hyperlink" Target="http://stormwater.pca.state.mn.us/index.php/Design_criteria_for_bioretention" TargetMode="External"/><Relationship Id="rId34" Type="http://schemas.openxmlformats.org/officeDocument/2006/relationships/footer" Target="footer1.xml"/><Relationship Id="rId50" Type="http://schemas.openxmlformats.org/officeDocument/2006/relationships/hyperlink" Target="http://files.dnr.state.mn.us/waters/groundwater_section/mapping/cga/c12_goodhue/pdf_files/plate10.pdf" TargetMode="External"/><Relationship Id="rId55" Type="http://schemas.openxmlformats.org/officeDocument/2006/relationships/image" Target="media/image5.tiff"/><Relationship Id="rId76" Type="http://schemas.openxmlformats.org/officeDocument/2006/relationships/hyperlink" Target="http://www.hydroworld.com/articles/hr/print/volume-32/issue-7/cover-story/sinkholes-and-seepage-embankment-repair-at-hat-creek-1.html" TargetMode="External"/><Relationship Id="rId97" Type="http://schemas.openxmlformats.org/officeDocument/2006/relationships/hyperlink" Target="http://www.alachuacounty.us/Depts/EPD/Documents/WaterResources/Remediation%20BMP.pdf" TargetMode="External"/><Relationship Id="rId104" Type="http://schemas.openxmlformats.org/officeDocument/2006/relationships/hyperlink" Target="http://stormwater.pca.state.mn.us/index.php/Pollution_prevention_practices_for_PSH_operations" TargetMode="External"/><Relationship Id="rId7" Type="http://schemas.openxmlformats.org/officeDocument/2006/relationships/settings" Target="settings.xml"/><Relationship Id="rId71" Type="http://schemas.openxmlformats.org/officeDocument/2006/relationships/hyperlink" Target="http://www.lccwc.com/pdf/Sem2_2011/Adams-KarstGeology_09_20_2011.pdf" TargetMode="External"/><Relationship Id="rId92" Type="http://schemas.openxmlformats.org/officeDocument/2006/relationships/hyperlink" Target="http://www.pca.state.mn.us/index.php/data/wimn-whats-in-my-neighborhood/whats-in-my-neighborhood.html" TargetMode="External"/><Relationship Id="rId2" Type="http://schemas.openxmlformats.org/officeDocument/2006/relationships/customXml" Target="../customXml/item2.xml"/><Relationship Id="rId29" Type="http://schemas.openxmlformats.org/officeDocument/2006/relationships/hyperlink" Target="http://stormwater.pca.state.mn.us/index.php/Turf" TargetMode="External"/><Relationship Id="rId24" Type="http://schemas.openxmlformats.org/officeDocument/2006/relationships/hyperlink" Target="http://stormwater.pca.state.mn.us/index.php/Glossary" TargetMode="External"/><Relationship Id="rId40" Type="http://schemas.openxmlformats.org/officeDocument/2006/relationships/footer" Target="footer4.xml"/><Relationship Id="rId45" Type="http://schemas.openxmlformats.org/officeDocument/2006/relationships/hyperlink" Target="https://www.revisor.mn.gov/rules/?id=6120.3300" TargetMode="External"/><Relationship Id="rId66" Type="http://schemas.openxmlformats.org/officeDocument/2006/relationships/hyperlink" Target="http://stormwater.pca.state.mn.us/index.php/III._STORMWATER_DISCHARGE_DESIGN_REQUIREMENTS" TargetMode="External"/><Relationship Id="rId87" Type="http://schemas.openxmlformats.org/officeDocument/2006/relationships/hyperlink" Target="https://www.revisor.mn.gov/statutes/?id=103H.005" TargetMode="External"/><Relationship Id="rId110" Type="http://schemas.openxmlformats.org/officeDocument/2006/relationships/header" Target="header6.xml"/><Relationship Id="rId115" Type="http://schemas.openxmlformats.org/officeDocument/2006/relationships/footer" Target="footer7.xml"/><Relationship Id="rId61" Type="http://schemas.openxmlformats.org/officeDocument/2006/relationships/hyperlink" Target="http://caves.org/pub/journal/PDF/V64/v64n1-Goa.pdf" TargetMode="External"/><Relationship Id="rId82" Type="http://schemas.openxmlformats.org/officeDocument/2006/relationships/hyperlink" Target="http://www.pca.state.mn.us/index.php/waste/waste-and-cleanup/cleanup/superfund/rcra-cleanup-site-search.html" TargetMode="External"/><Relationship Id="rId19" Type="http://schemas.openxmlformats.org/officeDocument/2006/relationships/hyperlink" Target="http://www.seagrant.umn.edu/downloads/ch003.pdf" TargetMode="External"/><Relationship Id="rId14" Type="http://schemas.openxmlformats.org/officeDocument/2006/relationships/hyperlink" Target="https://www.revisor.mn.gov/rules/?id=4720.5100" TargetMode="External"/><Relationship Id="rId30" Type="http://schemas.openxmlformats.org/officeDocument/2006/relationships/hyperlink" Target="http://stormwater.pca.state.mn.us/index.php/Stormwater_re-use_and_rainwater_harvesting" TargetMode="External"/><Relationship Id="rId35" Type="http://schemas.openxmlformats.org/officeDocument/2006/relationships/footer" Target="footer2.xml"/><Relationship Id="rId56" Type="http://schemas.openxmlformats.org/officeDocument/2006/relationships/hyperlink" Target="http://www.eahcp.org/files/uploads/09-03-10Attachment4aUsing_Green_Infrastructure.pdf" TargetMode="External"/><Relationship Id="rId77" Type="http://schemas.openxmlformats.org/officeDocument/2006/relationships/hyperlink" Target="http://tnpermanentstormwater.org/manual.asp" TargetMode="External"/><Relationship Id="rId100" Type="http://schemas.openxmlformats.org/officeDocument/2006/relationships/hyperlink" Target="http://www.pca.state.mn.us/index.php/water/water-types-and-programs/stormwater/industrial-stormwater/index.html" TargetMode="External"/><Relationship Id="rId105" Type="http://schemas.openxmlformats.org/officeDocument/2006/relationships/hyperlink" Target="http://stormwater.pca.state.mn.us/index.php/Stormwater_ponds" TargetMode="External"/><Relationship Id="rId8" Type="http://schemas.openxmlformats.org/officeDocument/2006/relationships/webSettings" Target="webSettings.xml"/><Relationship Id="rId51" Type="http://schemas.openxmlformats.org/officeDocument/2006/relationships/hyperlink" Target="http://reflections.mndigital.org/cdm/ref/collection/mgs/id/623" TargetMode="External"/><Relationship Id="rId72" Type="http://schemas.openxmlformats.org/officeDocument/2006/relationships/hyperlink" Target="http://www.epa.gov/OUST/cat/gwkarst.pdf" TargetMode="External"/><Relationship Id="rId93" Type="http://schemas.openxmlformats.org/officeDocument/2006/relationships/hyperlink" Target="http://www.epa.state.il.us/water/watershed/publications/implementing-stormwater-infiltration-practices.pdf" TargetMode="External"/><Relationship Id="rId98" Type="http://schemas.openxmlformats.org/officeDocument/2006/relationships/hyperlink" Target="http://swimmablenyc.info/wp-content/uploads/2012/05/Sara-Margolis-Final-Thesis-Presentation.pdf" TargetMode="External"/><Relationship Id="rId3" Type="http://schemas.openxmlformats.org/officeDocument/2006/relationships/customXml" Target="../customXml/item3.xml"/><Relationship Id="rId25" Type="http://schemas.openxmlformats.org/officeDocument/2006/relationships/hyperlink" Target="http://www.nrcs.usda.gov/wps/portal/nrcs/surveylist/soils/survey/state/?stateId=MN" TargetMode="External"/><Relationship Id="rId46" Type="http://schemas.openxmlformats.org/officeDocument/2006/relationships/hyperlink" Target="http://water.usgs.gov/ogw/karst/index" TargetMode="External"/><Relationship Id="rId67" Type="http://schemas.openxmlformats.org/officeDocument/2006/relationships/hyperlink" Target="http://www.eahcp.org/files/uploads/09-03-10Attachment4aUsing_Green_Infrastructure.pdf" TargetMode="External"/><Relationship Id="rId116" Type="http://schemas.openxmlformats.org/officeDocument/2006/relationships/fontTable" Target="fontTable.xml"/><Relationship Id="rId20" Type="http://schemas.openxmlformats.org/officeDocument/2006/relationships/hyperlink" Target="http://www.pca.state.mn.us/index.php/water/water-types-and-programs/stormwater/construction-stormwater/index.html" TargetMode="External"/><Relationship Id="rId41" Type="http://schemas.openxmlformats.org/officeDocument/2006/relationships/hyperlink" Target="http://www.health.state.mn.us/divs/eh/water/swp/stormwater.pdf" TargetMode="External"/><Relationship Id="rId62" Type="http://schemas.openxmlformats.org/officeDocument/2006/relationships/image" Target="media/image7.jpeg"/><Relationship Id="rId83" Type="http://schemas.openxmlformats.org/officeDocument/2006/relationships/hyperlink" Target="http://cf.pca.state.mn.us/programs/tank_leak/index.cfm?site=leak" TargetMode="External"/><Relationship Id="rId88" Type="http://schemas.openxmlformats.org/officeDocument/2006/relationships/hyperlink" Target="http://www.dnr.state.mn.us/waters/groundwater_section/mapping/sensitivity.html" TargetMode="External"/><Relationship Id="rId111" Type="http://schemas.openxmlformats.org/officeDocument/2006/relationships/header" Target="header7.xml"/><Relationship Id="rId15" Type="http://schemas.openxmlformats.org/officeDocument/2006/relationships/hyperlink" Target="http://www.health.state.mn.us/divs/eh/water/swp/maps/" TargetMode="External"/><Relationship Id="rId36" Type="http://schemas.openxmlformats.org/officeDocument/2006/relationships/header" Target="header3.xml"/><Relationship Id="rId57" Type="http://schemas.openxmlformats.org/officeDocument/2006/relationships/image" Target="media/image6.jpeg"/><Relationship Id="rId106" Type="http://schemas.openxmlformats.org/officeDocument/2006/relationships/hyperlink" Target="http://stormwater.pca.state.mn.us/index.php/Stormwater_wetland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wmf"/></Relationships>
</file>

<file path=word/_rels/footer2.xml.rels><?xml version="1.0" encoding="UTF-8" standalone="yes"?>
<Relationships xmlns="http://schemas.openxmlformats.org/package/2006/relationships"><Relationship Id="rId1" Type="http://schemas.openxmlformats.org/officeDocument/2006/relationships/image" Target="media/image3.wmf"/></Relationships>
</file>

<file path=word/_rels/footer3.xml.rels><?xml version="1.0" encoding="UTF-8" standalone="yes"?>
<Relationships xmlns="http://schemas.openxmlformats.org/package/2006/relationships"><Relationship Id="rId1" Type="http://schemas.openxmlformats.org/officeDocument/2006/relationships/image" Target="media/image3.wmf"/></Relationships>
</file>

<file path=word/_rels/footer4.xml.rels><?xml version="1.0" encoding="UTF-8" standalone="yes"?>
<Relationships xmlns="http://schemas.openxmlformats.org/package/2006/relationships"><Relationship Id="rId1" Type="http://schemas.openxmlformats.org/officeDocument/2006/relationships/image" Target="media/image3.wmf"/></Relationships>
</file>

<file path=word/_rels/footer5.xml.rels><?xml version="1.0" encoding="UTF-8" standalone="yes"?>
<Relationships xmlns="http://schemas.openxmlformats.org/package/2006/relationships"><Relationship Id="rId1" Type="http://schemas.openxmlformats.org/officeDocument/2006/relationships/image" Target="media/image3.wmf"/></Relationships>
</file>

<file path=word/_rels/footer6.xml.rels><?xml version="1.0" encoding="UTF-8" standalone="yes"?>
<Relationships xmlns="http://schemas.openxmlformats.org/package/2006/relationships"><Relationship Id="rId1" Type="http://schemas.openxmlformats.org/officeDocument/2006/relationships/image" Target="media/image3.wmf"/></Relationships>
</file>

<file path=word/_rels/footer7.xml.rels><?xml version="1.0" encoding="UTF-8" standalone="yes"?>
<Relationships xmlns="http://schemas.openxmlformats.org/package/2006/relationships"><Relationship Id="rId1"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LFT%20Templates\LFT_RPT_Letter_Portrait_Doc_2S_1C_Color.dotx" TargetMode="External"/></Relationships>
</file>

<file path=word/theme/theme1.xml><?xml version="1.0" encoding="utf-8"?>
<a:theme xmlns:a="http://schemas.openxmlformats.org/drawingml/2006/main" name="Foundation">
  <a:themeElements>
    <a:clrScheme name="Fresh">
      <a:dk1>
        <a:sysClr val="windowText" lastClr="000000"/>
      </a:dk1>
      <a:lt1>
        <a:sysClr val="window" lastClr="FFFBF0"/>
      </a:lt1>
      <a:dk2>
        <a:srgbClr val="00539B"/>
      </a:dk2>
      <a:lt2>
        <a:srgbClr val="0081C6"/>
      </a:lt2>
      <a:accent1>
        <a:srgbClr val="B2BB1E"/>
      </a:accent1>
      <a:accent2>
        <a:srgbClr val="F47B20"/>
      </a:accent2>
      <a:accent3>
        <a:srgbClr val="FFECBC"/>
      </a:accent3>
      <a:accent4>
        <a:srgbClr val="C2E1F6"/>
      </a:accent4>
      <a:accent5>
        <a:srgbClr val="000000"/>
      </a:accent5>
      <a:accent6>
        <a:srgbClr val="333333"/>
      </a:accent6>
      <a:hlink>
        <a:srgbClr val="594331"/>
      </a:hlink>
      <a:folHlink>
        <a:srgbClr val="777777"/>
      </a:folHlink>
    </a:clrScheme>
    <a:fontScheme name="LFT_BodyTextAlternate">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B584F57A2B174A9663545F58455120" ma:contentTypeVersion="14" ma:contentTypeDescription="Create a new document." ma:contentTypeScope="" ma:versionID="2cb62793a51b157723ecc387235aa85a">
  <xsd:schema xmlns:xsd="http://www.w3.org/2001/XMLSchema" xmlns:xs="http://www.w3.org/2001/XMLSchema" xmlns:p="http://schemas.microsoft.com/office/2006/metadata/properties" xmlns:ns2="125bf502-6a2a-47fe-9e1c-8ca1af031810" xmlns:ns3="752ebeae-1546-484f-92e0-4cbd4d4acbf6" targetNamespace="http://schemas.microsoft.com/office/2006/metadata/properties" ma:root="true" ma:fieldsID="4f506df7f8f5d543b0f5d8ba1238cd48" ns2:_="" ns3:_="">
    <xsd:import namespace="125bf502-6a2a-47fe-9e1c-8ca1af031810"/>
    <xsd:import namespace="752ebeae-1546-484f-92e0-4cbd4d4acbf6"/>
    <xsd:element name="properties">
      <xsd:complexType>
        <xsd:sequence>
          <xsd:element name="documentManagement">
            <xsd:complexType>
              <xsd:all>
                <xsd:element ref="ns2:Last_x0020_Modified0" minOccurs="0"/>
                <xsd:element ref="ns3:Document_x0020_Type" minOccurs="0"/>
                <xsd:element ref="ns3:Design_x0020_Theme" minOccurs="0"/>
                <xsd:element ref="ns3:Document_x0020_Size" minOccurs="0"/>
                <xsd:element ref="ns3:Oreintation" minOccurs="0"/>
                <xsd:element ref="ns2:Produ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bf502-6a2a-47fe-9e1c-8ca1af031810" elementFormDefault="qualified">
    <xsd:import namespace="http://schemas.microsoft.com/office/2006/documentManagement/types"/>
    <xsd:import namespace="http://schemas.microsoft.com/office/infopath/2007/PartnerControls"/>
    <xsd:element name="Last_x0020_Modified0" ma:index="1" nillable="true" ma:displayName="Last Modified" ma:default="[today]" ma:format="DateTime" ma:internalName="Last_x0020_Modified0">
      <xsd:simpleType>
        <xsd:restriction base="dms:DateTime"/>
      </xsd:simpleType>
    </xsd:element>
    <xsd:element name="Product" ma:index="6" nillable="true" ma:displayName="Product" ma:format="RadioButtons" ma:internalName="Product">
      <xsd:simpleType>
        <xsd:restriction base="dms:Choice">
          <xsd:enumeration value="Doc"/>
          <xsd:enumeration value="PD-Res"/>
          <xsd:enumeration value="TOC"/>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752ebeae-1546-484f-92e0-4cbd4d4acbf6" elementFormDefault="qualified">
    <xsd:import namespace="http://schemas.microsoft.com/office/2006/documentManagement/types"/>
    <xsd:import namespace="http://schemas.microsoft.com/office/infopath/2007/PartnerControls"/>
    <xsd:element name="Document_x0020_Type" ma:index="2" nillable="true" ma:displayName="Document Type" ma:format="RadioButtons" ma:internalName="Document_x0020_Type">
      <xsd:simpleType>
        <xsd:restriction base="dms:Choice">
          <xsd:enumeration value="MS Word"/>
          <xsd:enumeration value="InDesign"/>
        </xsd:restriction>
      </xsd:simpleType>
    </xsd:element>
    <xsd:element name="Design_x0020_Theme" ma:index="3" nillable="true" ma:displayName="Design Theme" ma:format="RadioButtons" ma:internalName="Design_x0020_Theme">
      <xsd:simpleType>
        <xsd:restriction base="dms:Choice">
          <xsd:enumeration value="Foundation"/>
          <xsd:enumeration value="Framework"/>
          <xsd:enumeration value="Focus"/>
          <xsd:enumeration value="Report"/>
        </xsd:restriction>
      </xsd:simpleType>
    </xsd:element>
    <xsd:element name="Document_x0020_Size" ma:index="4" nillable="true" ma:displayName="Document Size" ma:format="RadioButtons" ma:internalName="Document_x0020_Size">
      <xsd:simpleType>
        <xsd:restriction base="dms:Choice">
          <xsd:enumeration value="US Letter"/>
          <xsd:enumeration value="A4"/>
          <xsd:enumeration value="Tabloid"/>
          <xsd:enumeration value="A3"/>
          <xsd:enumeration value="Graphic Libraries &amp; font swap files"/>
          <xsd:enumeration value="Other"/>
        </xsd:restriction>
      </xsd:simpleType>
    </xsd:element>
    <xsd:element name="Oreintation" ma:index="5" nillable="true" ma:displayName="Orientation" ma:format="RadioButtons" ma:internalName="Oreintation">
      <xsd:simpleType>
        <xsd:restriction base="dms:Choice">
          <xsd:enumeration value="Portrait"/>
          <xsd:enumeration value="Page-Limited Portrait"/>
          <xsd:enumeration value="Landscape"/>
          <xsd:enumeration value="Page-Limited Landscap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Last_x0020_Modified0 xmlns="125bf502-6a2a-47fe-9e1c-8ca1af031810">2010-11-17T00:40:00+00:00</Last_x0020_Modified0>
    <Document_x0020_Type xmlns="752ebeae-1546-484f-92e0-4cbd4d4acbf6">MS Word</Document_x0020_Type>
    <Oreintation xmlns="752ebeae-1546-484f-92e0-4cbd4d4acbf6">Portrait</Oreintation>
    <Document_x0020_Size xmlns="752ebeae-1546-484f-92e0-4cbd4d4acbf6">US Letter</Document_x0020_Size>
    <Product xmlns="125bf502-6a2a-47fe-9e1c-8ca1af031810">Doc</Product>
    <Design_x0020_Theme xmlns="752ebeae-1546-484f-92e0-4cbd4d4acbf6">Report</Design_x0020_Them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F29B5-5CFE-48D6-A92D-BC72BAA22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bf502-6a2a-47fe-9e1c-8ca1af031810"/>
    <ds:schemaRef ds:uri="752ebeae-1546-484f-92e0-4cbd4d4ac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EC3C78-8699-40EB-95A6-269C1147AAAC}">
  <ds:schemaRefs>
    <ds:schemaRef ds:uri="http://schemas.microsoft.com/sharepoint/v3/contenttype/forms"/>
  </ds:schemaRefs>
</ds:datastoreItem>
</file>

<file path=customXml/itemProps3.xml><?xml version="1.0" encoding="utf-8"?>
<ds:datastoreItem xmlns:ds="http://schemas.openxmlformats.org/officeDocument/2006/customXml" ds:itemID="{AEF13CFA-AB7C-4A74-BACE-AF3E76F10E09}">
  <ds:schemaRefs>
    <ds:schemaRef ds:uri="http://schemas.microsoft.com/office/2006/metadata/properties"/>
    <ds:schemaRef ds:uri="125bf502-6a2a-47fe-9e1c-8ca1af031810"/>
    <ds:schemaRef ds:uri="752ebeae-1546-484f-92e0-4cbd4d4acbf6"/>
  </ds:schemaRefs>
</ds:datastoreItem>
</file>

<file path=customXml/itemProps4.xml><?xml version="1.0" encoding="utf-8"?>
<ds:datastoreItem xmlns:ds="http://schemas.openxmlformats.org/officeDocument/2006/customXml" ds:itemID="{A49A4B88-479C-4163-9693-7753917BC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LFT_RPT_Letter_Portrait_Doc_2S_1C_Color.dotx</Template>
  <TotalTime>0</TotalTime>
  <Pages>43</Pages>
  <Words>17098</Words>
  <Characters>97465</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Click here to type Section Title</vt:lpstr>
    </vt:vector>
  </TitlesOfParts>
  <Company>CDM Smith</Company>
  <LinksUpToDate>false</LinksUpToDate>
  <CharactersWithSpaces>114335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to type Section Title</dc:title>
  <dc:creator>Wahlstrom-Ramler, Meghan</dc:creator>
  <cp:lastModifiedBy>Polzin, Jodi</cp:lastModifiedBy>
  <cp:revision>2</cp:revision>
  <cp:lastPrinted>2015-05-06T18:31:00Z</cp:lastPrinted>
  <dcterms:created xsi:type="dcterms:W3CDTF">2015-05-07T19:56:00Z</dcterms:created>
  <dcterms:modified xsi:type="dcterms:W3CDTF">2015-05-07T19:56:00Z</dcterms:modified>
  <cp:contentStatus>Version-August2014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0x010100E2B584F57A2B174A9663545F58455120</vt:lpwstr>
  </property>
</Properties>
</file>