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18" w:space="0" w:color="DDD9C3" w:themeColor="background2" w:themeShade="E6"/>
          <w:left w:val="none" w:sz="0" w:space="0" w:color="auto"/>
          <w:bottom w:val="single" w:sz="18" w:space="0" w:color="DDD9C3" w:themeColor="background2" w:themeShade="E6"/>
          <w:right w:val="none" w:sz="0" w:space="0" w:color="auto"/>
          <w:insideH w:val="single" w:sz="2" w:space="0" w:color="C4BC96" w:themeColor="background2" w:themeShade="BF"/>
          <w:insideV w:val="none" w:sz="0" w:space="0" w:color="auto"/>
        </w:tblBorders>
        <w:tblCellMar>
          <w:top w:w="29" w:type="dxa"/>
          <w:left w:w="115" w:type="dxa"/>
          <w:bottom w:w="29" w:type="dxa"/>
          <w:right w:w="115" w:type="dxa"/>
        </w:tblCellMar>
        <w:tblLook w:val="04A0" w:firstRow="1" w:lastRow="0" w:firstColumn="1" w:lastColumn="0" w:noHBand="0" w:noVBand="1"/>
      </w:tblPr>
      <w:tblGrid>
        <w:gridCol w:w="1025"/>
        <w:gridCol w:w="9055"/>
      </w:tblGrid>
      <w:tr w:rsidR="00D62A04" w14:paraId="7E146A5F" w14:textId="77777777" w:rsidTr="00FC4CA4">
        <w:tc>
          <w:tcPr>
            <w:tcW w:w="1025" w:type="dxa"/>
          </w:tcPr>
          <w:p w14:paraId="7D456EDC" w14:textId="5562ED1E" w:rsidR="00D62A04" w:rsidRPr="00D62A04" w:rsidRDefault="00D62A04" w:rsidP="00D62A04">
            <w:pPr>
              <w:rPr>
                <w:rStyle w:val="IntenseEmphasisBlue"/>
              </w:rPr>
            </w:pPr>
            <w:r w:rsidRPr="00D62A04">
              <w:rPr>
                <w:rStyle w:val="IntenseEmphasisBlue"/>
              </w:rPr>
              <w:t>To:</w:t>
            </w:r>
          </w:p>
        </w:tc>
        <w:tc>
          <w:tcPr>
            <w:tcW w:w="9055" w:type="dxa"/>
          </w:tcPr>
          <w:p w14:paraId="6BBAF34B" w14:textId="356040B5" w:rsidR="00D62A04" w:rsidRPr="00EB67E8" w:rsidRDefault="00FC4CA4" w:rsidP="00D62A04">
            <w:r w:rsidRPr="00FC4CA4">
              <w:t>Mike Trojan, Minnesota Pollution Control Agency</w:t>
            </w:r>
            <w:r w:rsidR="000E613F" w:rsidDel="000E613F">
              <w:t xml:space="preserve"> </w:t>
            </w:r>
          </w:p>
        </w:tc>
      </w:tr>
      <w:tr w:rsidR="00D62A04" w14:paraId="07084608" w14:textId="77777777" w:rsidTr="00FC4CA4">
        <w:tc>
          <w:tcPr>
            <w:tcW w:w="1025" w:type="dxa"/>
          </w:tcPr>
          <w:p w14:paraId="1B0A561E" w14:textId="77777777" w:rsidR="00D62A04" w:rsidRPr="00D62A04" w:rsidRDefault="00D62A04" w:rsidP="00D62A04">
            <w:pPr>
              <w:rPr>
                <w:rStyle w:val="IntenseEmphasisBlue"/>
              </w:rPr>
            </w:pPr>
            <w:r w:rsidRPr="00D62A04">
              <w:rPr>
                <w:rStyle w:val="IntenseEmphasisBlue"/>
              </w:rPr>
              <w:t>From:</w:t>
            </w:r>
          </w:p>
        </w:tc>
        <w:tc>
          <w:tcPr>
            <w:tcW w:w="9055" w:type="dxa"/>
          </w:tcPr>
          <w:p w14:paraId="7696820E" w14:textId="111A9C9D" w:rsidR="00D62A04" w:rsidRPr="00701D8B" w:rsidRDefault="00320041" w:rsidP="00D62A04">
            <w:r>
              <w:t>Aileen Molloy</w:t>
            </w:r>
            <w:r w:rsidR="00FC4CA4">
              <w:t xml:space="preserve"> and </w:t>
            </w:r>
            <w:r w:rsidR="009F39D0">
              <w:t>Jennifer Olson</w:t>
            </w:r>
          </w:p>
        </w:tc>
      </w:tr>
      <w:tr w:rsidR="00D62A04" w14:paraId="50A33828" w14:textId="77777777" w:rsidTr="00FC4CA4">
        <w:tc>
          <w:tcPr>
            <w:tcW w:w="1025" w:type="dxa"/>
          </w:tcPr>
          <w:p w14:paraId="63734672" w14:textId="77777777" w:rsidR="00D62A04" w:rsidRPr="00D62A04" w:rsidRDefault="00D62A04" w:rsidP="00D62A04">
            <w:pPr>
              <w:rPr>
                <w:rStyle w:val="IntenseEmphasisBlue"/>
              </w:rPr>
            </w:pPr>
            <w:r w:rsidRPr="00D62A04">
              <w:rPr>
                <w:rStyle w:val="IntenseEmphasisBlue"/>
              </w:rPr>
              <w:t>Date:</w:t>
            </w:r>
          </w:p>
        </w:tc>
        <w:tc>
          <w:tcPr>
            <w:tcW w:w="9055" w:type="dxa"/>
          </w:tcPr>
          <w:p w14:paraId="58625D54" w14:textId="44E4E3DA" w:rsidR="00D62A04" w:rsidRPr="00701D8B" w:rsidRDefault="00320041" w:rsidP="00D62A04">
            <w:r w:rsidRPr="00320041">
              <w:t xml:space="preserve">May </w:t>
            </w:r>
            <w:r w:rsidR="00E33E41">
              <w:t>21</w:t>
            </w:r>
            <w:r w:rsidRPr="00320041">
              <w:t>, 2019</w:t>
            </w:r>
          </w:p>
        </w:tc>
      </w:tr>
      <w:tr w:rsidR="00D62A04" w14:paraId="43686F22" w14:textId="77777777" w:rsidTr="00FC4CA4">
        <w:tc>
          <w:tcPr>
            <w:tcW w:w="1025" w:type="dxa"/>
          </w:tcPr>
          <w:p w14:paraId="20AE2BCD" w14:textId="77777777" w:rsidR="00D62A04" w:rsidRPr="00D62A04" w:rsidRDefault="00D62A04" w:rsidP="00D62A04">
            <w:pPr>
              <w:rPr>
                <w:rStyle w:val="IntenseEmphasisBlue"/>
              </w:rPr>
            </w:pPr>
            <w:r w:rsidRPr="00D62A04">
              <w:rPr>
                <w:rStyle w:val="IntenseEmphasisBlue"/>
              </w:rPr>
              <w:t>Subject:</w:t>
            </w:r>
          </w:p>
        </w:tc>
        <w:tc>
          <w:tcPr>
            <w:tcW w:w="9055" w:type="dxa"/>
          </w:tcPr>
          <w:p w14:paraId="54D32612" w14:textId="1C2B891A" w:rsidR="00D62A04" w:rsidRPr="00FC4CA4" w:rsidRDefault="003C60CC" w:rsidP="00D62A04">
            <w:r>
              <w:rPr>
                <w:i/>
              </w:rPr>
              <w:t>Final</w:t>
            </w:r>
            <w:r w:rsidR="00FC4CA4" w:rsidRPr="00FC4CA4">
              <w:t xml:space="preserve"> </w:t>
            </w:r>
            <w:r w:rsidR="00320041" w:rsidRPr="00FC4CA4">
              <w:t>Street Sweeping: Survey of Crediting Approaches</w:t>
            </w:r>
          </w:p>
        </w:tc>
      </w:tr>
    </w:tbl>
    <w:p w14:paraId="59D11D6E" w14:textId="15E523FF" w:rsidR="00D62A04" w:rsidRDefault="00D62A04" w:rsidP="00D12DB0"/>
    <w:p w14:paraId="73520F00" w14:textId="72DEEA1E" w:rsidR="00320041" w:rsidRPr="005102AF" w:rsidRDefault="00320041" w:rsidP="00320041">
      <w:pPr>
        <w:pStyle w:val="ListParagraph"/>
        <w:ind w:left="0"/>
        <w:rPr>
          <w:rFonts w:eastAsia="Times New Roman"/>
        </w:rPr>
      </w:pPr>
      <w:r w:rsidRPr="005102AF">
        <w:rPr>
          <w:rFonts w:eastAsia="Times New Roman"/>
        </w:rPr>
        <w:t>This document addresses Task B Subtask 1 of the project work plan: to prepare a report summarizing a literature review of existing street sweepin</w:t>
      </w:r>
      <w:bookmarkStart w:id="0" w:name="_GoBack"/>
      <w:bookmarkEnd w:id="0"/>
      <w:r w:rsidRPr="005102AF">
        <w:rPr>
          <w:rFonts w:eastAsia="Times New Roman"/>
        </w:rPr>
        <w:t xml:space="preserve">g credit methods. Research revealed these categories and considerations </w:t>
      </w:r>
      <w:r w:rsidR="003E4507">
        <w:rPr>
          <w:rFonts w:eastAsia="Times New Roman"/>
        </w:rPr>
        <w:t xml:space="preserve">to be </w:t>
      </w:r>
      <w:r w:rsidRPr="005102AF">
        <w:rPr>
          <w:rFonts w:eastAsia="Times New Roman"/>
        </w:rPr>
        <w:t>integral in developing a crediting method: scheduling, equipment, debris measurement, and nutrient quantification.</w:t>
      </w:r>
    </w:p>
    <w:p w14:paraId="2C011E3A" w14:textId="79C1675B" w:rsidR="00320041" w:rsidRPr="003427C4" w:rsidRDefault="00320041" w:rsidP="00320041">
      <w:pPr>
        <w:rPr>
          <w:rFonts w:eastAsia="Times New Roman"/>
          <w:highlight w:val="yellow"/>
        </w:rPr>
      </w:pPr>
      <w:r w:rsidRPr="005102AF">
        <w:rPr>
          <w:rFonts w:eastAsia="Times New Roman"/>
        </w:rPr>
        <w:t>Crediting methods vary by governing agency.</w:t>
      </w:r>
      <w:r>
        <w:rPr>
          <w:rFonts w:eastAsia="Times New Roman"/>
        </w:rPr>
        <w:t xml:space="preserve"> </w:t>
      </w:r>
      <w:r w:rsidR="00AB1579">
        <w:rPr>
          <w:rFonts w:eastAsia="Times New Roman"/>
        </w:rPr>
        <w:t xml:space="preserve">Over 70% of state </w:t>
      </w:r>
      <w:r>
        <w:rPr>
          <w:rFonts w:eastAsia="Times New Roman"/>
        </w:rPr>
        <w:t>MS4 permitting agencies do not require or provide a nutrient or sediment reduction credit for street sweeping, regardless of whether there is an applicable TMDL. Generally, street sweeping is regarded as a good housekeeping measure and annual miles swept are tracked. M</w:t>
      </w:r>
      <w:r w:rsidRPr="005102AF">
        <w:rPr>
          <w:rFonts w:eastAsia="Times New Roman"/>
        </w:rPr>
        <w:t xml:space="preserve">ost street sweeping programs set schedules and prioritize streets based on traffic volume. Some programs attempt to measure the amount of debris removed by street sweeping. However, relatively few entities establish documented quantifiable crediting methods using research-based estimates of </w:t>
      </w:r>
      <w:r>
        <w:rPr>
          <w:rFonts w:eastAsia="Times New Roman"/>
        </w:rPr>
        <w:t>p</w:t>
      </w:r>
      <w:r w:rsidRPr="005102AF">
        <w:rPr>
          <w:rFonts w:eastAsia="Times New Roman"/>
        </w:rPr>
        <w:t xml:space="preserve">ollutant load removal. </w:t>
      </w:r>
      <w:r w:rsidR="00AB1579">
        <w:rPr>
          <w:rFonts w:eastAsia="Times New Roman"/>
        </w:rPr>
        <w:t xml:space="preserve">Of the roughly 30% of states and the District of Columbia that do have a street sweeping crediting program, half adhere to the Chesapeake Bay TMDL crediting method. </w:t>
      </w:r>
      <w:r w:rsidR="003E4507">
        <w:rPr>
          <w:rFonts w:eastAsia="Times New Roman"/>
        </w:rPr>
        <w:t xml:space="preserve">While California does not have consistent crediting programs </w:t>
      </w:r>
      <w:r w:rsidR="00001638">
        <w:rPr>
          <w:rFonts w:eastAsia="Times New Roman"/>
        </w:rPr>
        <w:t xml:space="preserve">throughout the state, individual permitted entities do </w:t>
      </w:r>
      <w:r w:rsidR="00001638">
        <w:rPr>
          <w:rFonts w:eastAsia="Times New Roman"/>
        </w:rPr>
        <w:t xml:space="preserve">have street sweeping crediting programs. </w:t>
      </w:r>
    </w:p>
    <w:p w14:paraId="557B1637" w14:textId="1C060B06" w:rsidR="006033EF" w:rsidRDefault="00320041" w:rsidP="00320041">
      <w:r w:rsidRPr="00194996">
        <w:rPr>
          <w:rFonts w:eastAsia="Times New Roman"/>
        </w:rPr>
        <w:t xml:space="preserve">While MS4 permits require varying degrees of quantitative and qualitative documentation on street sweeping activities, this literature review focuses on documenting permitting entities </w:t>
      </w:r>
      <w:r w:rsidR="00EC7C24">
        <w:rPr>
          <w:rFonts w:eastAsia="Times New Roman"/>
        </w:rPr>
        <w:t>that have</w:t>
      </w:r>
      <w:r w:rsidR="00EC7C24" w:rsidRPr="00194996">
        <w:rPr>
          <w:rFonts w:eastAsia="Times New Roman"/>
        </w:rPr>
        <w:t xml:space="preserve"> </w:t>
      </w:r>
      <w:r w:rsidRPr="00194996">
        <w:rPr>
          <w:rFonts w:eastAsia="Times New Roman"/>
        </w:rPr>
        <w:t>an established pollutant reduction crediting methodology</w:t>
      </w:r>
      <w:r w:rsidR="00935A3A">
        <w:t xml:space="preserve">. </w:t>
      </w:r>
      <w:r w:rsidR="00EF45EB">
        <w:t>These programs typically require</w:t>
      </w:r>
      <w:r w:rsidR="00EF45EB">
        <w:t xml:space="preserve"> documentation</w:t>
      </w:r>
      <w:r w:rsidR="00EF45EB">
        <w:t>,</w:t>
      </w:r>
      <w:r w:rsidR="00EF45EB">
        <w:t xml:space="preserve"> </w:t>
      </w:r>
      <w:r w:rsidR="00EF45EB">
        <w:t xml:space="preserve">at a minimum, of </w:t>
      </w:r>
      <w:r w:rsidR="00EF45EB">
        <w:t xml:space="preserve">the length </w:t>
      </w:r>
      <w:r w:rsidR="00EF45EB">
        <w:t xml:space="preserve">or area </w:t>
      </w:r>
      <w:r w:rsidR="00EF45EB">
        <w:t xml:space="preserve">of street swept or a measurement of the materials collected with </w:t>
      </w:r>
      <w:r w:rsidR="00EF45EB">
        <w:t xml:space="preserve">reductions calculated from </w:t>
      </w:r>
      <w:r w:rsidR="00EF45EB">
        <w:t xml:space="preserve">established </w:t>
      </w:r>
      <w:r w:rsidR="00EF45EB">
        <w:t xml:space="preserve">pollutant concentrations or reduction efficiencies </w:t>
      </w:r>
      <w:r w:rsidR="00EF45EB">
        <w:t>or individual load reductions based on permittee-specific data.</w:t>
      </w:r>
    </w:p>
    <w:p w14:paraId="614E71E9" w14:textId="30DF0755" w:rsidR="00320041" w:rsidRDefault="00320041" w:rsidP="00320041">
      <w:pPr>
        <w:pStyle w:val="Heading1"/>
      </w:pPr>
      <w:r>
        <w:t>Approach</w:t>
      </w:r>
    </w:p>
    <w:p w14:paraId="08D2EA2D" w14:textId="2053CF13" w:rsidR="00320041" w:rsidRDefault="00320041" w:rsidP="00AE7B75">
      <w:r>
        <w:t xml:space="preserve">In addition to resources provided by the University of Minnesota, researchers reviewed state and local stormwater/MS4 websites, EPA’s regional MS4 websites and performed general Google searches to identify street sweeping crediting programs. Federal, state and local websites were reviewed to identify the requirements of the relevant MS4 permits, with </w:t>
      </w:r>
      <w:proofErr w:type="gramStart"/>
      <w:r>
        <w:t>particular attention</w:t>
      </w:r>
      <w:proofErr w:type="gramEnd"/>
      <w:r>
        <w:t xml:space="preserve"> </w:t>
      </w:r>
      <w:r w:rsidR="00EC7C24">
        <w:t>paid to TMDL-specific permit requirements</w:t>
      </w:r>
      <w:r>
        <w:t xml:space="preserve">. If specific street sweeping requirements were not evident in the state permitting pages, local MS4 permits and annual reports were identified and reviewed to determine the types of street sweeping information reported. The general Google review was conducted using the following search terms or a combination of terms coupled with specific state names: street sweeping, street cleaning, nutrient management, credit, reduction credit, TSS, phosphorus, nutrient removal, nutrient load, stormwater, quantification, qualifying lane miles, mass loading, </w:t>
      </w:r>
      <w:r w:rsidR="00BB135B">
        <w:t xml:space="preserve">TMDL </w:t>
      </w:r>
      <w:r>
        <w:t xml:space="preserve">and MS4. Once results were located using search terms, researchers reviewed document references to locate additional sources. </w:t>
      </w:r>
    </w:p>
    <w:p w14:paraId="6B6E8333" w14:textId="0A13142B" w:rsidR="00320041" w:rsidRDefault="00320041" w:rsidP="00320041">
      <w:r>
        <w:rPr>
          <w:rFonts w:eastAsia="Times New Roman"/>
        </w:rPr>
        <w:t xml:space="preserve">When a street sweeping crediting program was identified, </w:t>
      </w:r>
      <w:r w:rsidR="00EC7C24">
        <w:rPr>
          <w:rFonts w:eastAsia="Times New Roman"/>
        </w:rPr>
        <w:t xml:space="preserve">researchers </w:t>
      </w:r>
      <w:r>
        <w:rPr>
          <w:rFonts w:eastAsia="Times New Roman"/>
        </w:rPr>
        <w:t xml:space="preserve">attempted to locate the following information: </w:t>
      </w:r>
      <w:r w:rsidRPr="0025106B">
        <w:t>description of each crediting method,</w:t>
      </w:r>
      <w:r>
        <w:rPr>
          <w:rFonts w:eastAsia="Times New Roman"/>
        </w:rPr>
        <w:t xml:space="preserve"> </w:t>
      </w:r>
      <w:r w:rsidRPr="0025106B">
        <w:t xml:space="preserve">location and scale of applicability, factors considered, </w:t>
      </w:r>
      <w:r w:rsidRPr="0025106B">
        <w:lastRenderedPageBreak/>
        <w:t xml:space="preserve">inputs, key assumptions, </w:t>
      </w:r>
      <w:r>
        <w:t>quantification approach</w:t>
      </w:r>
      <w:r w:rsidRPr="0025106B">
        <w:t xml:space="preserve"> (if applicable), and </w:t>
      </w:r>
      <w:r w:rsidR="001970B8">
        <w:t>conditions under which credit cannot be received or is reduced</w:t>
      </w:r>
      <w:r w:rsidR="00AE7B75">
        <w:t>.</w:t>
      </w:r>
      <w:r w:rsidR="003E4507">
        <w:t xml:space="preserve">  All street sweeping crediting programs</w:t>
      </w:r>
      <w:r w:rsidR="003E4507">
        <w:t xml:space="preserve"> that were identified</w:t>
      </w:r>
      <w:r w:rsidR="003E4507">
        <w:t xml:space="preserve"> are included in the following section. </w:t>
      </w:r>
    </w:p>
    <w:p w14:paraId="20805281" w14:textId="0DC534E9" w:rsidR="00AE7B75" w:rsidRDefault="00AE7B75" w:rsidP="00AE7B75">
      <w:pPr>
        <w:pStyle w:val="Heading1"/>
      </w:pPr>
      <w:r>
        <w:t>Existing Crediting Methods</w:t>
      </w:r>
    </w:p>
    <w:p w14:paraId="554B1505" w14:textId="18F97982" w:rsidR="00AE7B75" w:rsidRDefault="00AE7B75" w:rsidP="00AE7B75">
      <w:bookmarkStart w:id="1" w:name="_Hlk2007400"/>
      <w:r w:rsidRPr="00FD2756">
        <w:t xml:space="preserve">Crediting methods vary widely </w:t>
      </w:r>
      <w:r w:rsidR="003E4507">
        <w:t>across</w:t>
      </w:r>
      <w:r w:rsidRPr="00FD2756">
        <w:t xml:space="preserve"> program</w:t>
      </w:r>
      <w:r w:rsidR="003E4507">
        <w:t>s</w:t>
      </w:r>
      <w:r w:rsidRPr="00FD2756">
        <w:t xml:space="preserve">. Some rely on weight conversions of wet or dry material to an estimated reduction of total nitrogen, total phosphorus, or total suspended sediment. Other programs credit based on lane miles swept. Some programs use advanced modeling and provide a wide array of options based on equipment used, number of times swept, and seasonal breaks.  </w:t>
      </w:r>
      <w:r w:rsidRPr="00FD2756">
        <w:fldChar w:fldCharType="begin"/>
      </w:r>
      <w:r w:rsidRPr="00FD2756">
        <w:instrText xml:space="preserve"> REF _Ref6812834 \h  \* MERGEFORMAT </w:instrText>
      </w:r>
      <w:r w:rsidRPr="00FD2756">
        <w:fldChar w:fldCharType="separate"/>
      </w:r>
      <w:r w:rsidR="00E503E0">
        <w:t xml:space="preserve">Table </w:t>
      </w:r>
      <w:r w:rsidR="00E503E0">
        <w:rPr>
          <w:noProof/>
        </w:rPr>
        <w:t>1</w:t>
      </w:r>
      <w:r w:rsidRPr="00FD2756">
        <w:fldChar w:fldCharType="end"/>
      </w:r>
      <w:r w:rsidRPr="00FD2756">
        <w:t xml:space="preserve"> provides a summary of the crediting methods identified, followed by a more in-depth discussion of each method.</w:t>
      </w:r>
      <w:r>
        <w:t xml:space="preserve"> </w:t>
      </w:r>
    </w:p>
    <w:p w14:paraId="7D77B9E7" w14:textId="4D8307C3" w:rsidR="00C17DE2" w:rsidRDefault="00C17DE2" w:rsidP="00AE7B75">
      <w:r w:rsidRPr="00695B2A">
        <w:t>For Minnesota, the goal is to provide a mass-based approach, backed by research-based empirical relationships</w:t>
      </w:r>
      <w:r w:rsidRPr="00695B2A">
        <w:t>, for the crediting program. This approach is the most defensible as it involves direct measuremen</w:t>
      </w:r>
      <w:r w:rsidRPr="00BE7B6D">
        <w:t>t.</w:t>
      </w:r>
      <w:r w:rsidRPr="00BE7B6D">
        <w:t xml:space="preserve"> Examples from Table 1 that use a similar approach include: </w:t>
      </w:r>
      <w:r w:rsidR="00784534" w:rsidRPr="001970B8">
        <w:t>Chesapeake Bay, Florida, Washington Ecology, and potentially North Carolina (in progress)</w:t>
      </w:r>
      <w:r w:rsidRPr="001970B8">
        <w:t>.</w:t>
      </w:r>
      <w:r w:rsidRPr="001970B8">
        <w:t xml:space="preserve"> This </w:t>
      </w:r>
      <w:r w:rsidRPr="001970B8">
        <w:t xml:space="preserve">overall </w:t>
      </w:r>
      <w:r w:rsidRPr="00D41387">
        <w:t>approach is yet to be discussed with stakeholders and may be modified.</w:t>
      </w:r>
      <w:r>
        <w:t xml:space="preserve"> </w:t>
      </w:r>
      <w:r>
        <w:t xml:space="preserve"> </w:t>
      </w:r>
      <w:r>
        <w:t xml:space="preserve">  </w:t>
      </w:r>
    </w:p>
    <w:p w14:paraId="3C723C28" w14:textId="5DE82722" w:rsidR="00AE7B75" w:rsidRDefault="00AE7B75" w:rsidP="00AE7B75">
      <w:pPr>
        <w:pStyle w:val="Caption"/>
        <w:keepNext/>
      </w:pPr>
      <w:bookmarkStart w:id="2" w:name="_Ref6812834"/>
      <w:r>
        <w:t xml:space="preserve">Table </w:t>
      </w:r>
      <w:r>
        <w:rPr>
          <w:noProof/>
        </w:rPr>
        <w:fldChar w:fldCharType="begin"/>
      </w:r>
      <w:r>
        <w:rPr>
          <w:noProof/>
        </w:rPr>
        <w:instrText xml:space="preserve"> SEQ Table \* ARABIC </w:instrText>
      </w:r>
      <w:r>
        <w:rPr>
          <w:noProof/>
        </w:rPr>
        <w:fldChar w:fldCharType="separate"/>
      </w:r>
      <w:r w:rsidR="00E503E0">
        <w:rPr>
          <w:noProof/>
        </w:rPr>
        <w:t>1</w:t>
      </w:r>
      <w:r>
        <w:rPr>
          <w:noProof/>
        </w:rPr>
        <w:fldChar w:fldCharType="end"/>
      </w:r>
      <w:bookmarkEnd w:id="2"/>
      <w:r w:rsidR="00FC4CA4">
        <w:rPr>
          <w:noProof/>
        </w:rPr>
        <w:t>.</w:t>
      </w:r>
      <w:r>
        <w:t xml:space="preserve"> Crediting Methods Summary</w:t>
      </w:r>
    </w:p>
    <w:tbl>
      <w:tblPr>
        <w:tblStyle w:val="ListTable4-Accent1"/>
        <w:tblW w:w="0" w:type="auto"/>
        <w:tblLook w:val="04A0" w:firstRow="1" w:lastRow="0" w:firstColumn="1" w:lastColumn="0" w:noHBand="0" w:noVBand="1"/>
      </w:tblPr>
      <w:tblGrid>
        <w:gridCol w:w="3955"/>
        <w:gridCol w:w="3690"/>
        <w:gridCol w:w="1924"/>
      </w:tblGrid>
      <w:tr w:rsidR="00AE7B75" w:rsidRPr="00FC4CA4" w14:paraId="5CC09D3C" w14:textId="77777777" w:rsidTr="00AE7B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057A8E1F" w14:textId="77777777" w:rsidR="00AE7B75" w:rsidRPr="00FC4CA4" w:rsidRDefault="00AE7B75" w:rsidP="008570B7">
            <w:pPr>
              <w:rPr>
                <w:sz w:val="18"/>
                <w:szCs w:val="18"/>
              </w:rPr>
            </w:pPr>
            <w:r w:rsidRPr="00FC4CA4">
              <w:rPr>
                <w:sz w:val="18"/>
                <w:szCs w:val="18"/>
              </w:rPr>
              <w:t xml:space="preserve">Location </w:t>
            </w:r>
          </w:p>
        </w:tc>
        <w:tc>
          <w:tcPr>
            <w:tcW w:w="3690" w:type="dxa"/>
          </w:tcPr>
          <w:p w14:paraId="49AAE898" w14:textId="77777777" w:rsidR="00AE7B75" w:rsidRPr="00FC4CA4" w:rsidRDefault="00AE7B75" w:rsidP="008570B7">
            <w:pPr>
              <w:cnfStyle w:val="100000000000" w:firstRow="1" w:lastRow="0" w:firstColumn="0" w:lastColumn="0" w:oddVBand="0" w:evenVBand="0" w:oddHBand="0" w:evenHBand="0" w:firstRowFirstColumn="0" w:firstRowLastColumn="0" w:lastRowFirstColumn="0" w:lastRowLastColumn="0"/>
              <w:rPr>
                <w:sz w:val="18"/>
                <w:szCs w:val="18"/>
              </w:rPr>
            </w:pPr>
            <w:r w:rsidRPr="00FC4CA4">
              <w:rPr>
                <w:sz w:val="18"/>
                <w:szCs w:val="18"/>
              </w:rPr>
              <w:t>Crediting Method</w:t>
            </w:r>
          </w:p>
        </w:tc>
        <w:tc>
          <w:tcPr>
            <w:tcW w:w="1924" w:type="dxa"/>
          </w:tcPr>
          <w:p w14:paraId="3CA9E4F0" w14:textId="77777777" w:rsidR="00AE7B75" w:rsidRPr="00FC4CA4" w:rsidRDefault="00AE7B75" w:rsidP="008570B7">
            <w:pPr>
              <w:cnfStyle w:val="100000000000" w:firstRow="1" w:lastRow="0" w:firstColumn="0" w:lastColumn="0" w:oddVBand="0" w:evenVBand="0" w:oddHBand="0" w:evenHBand="0" w:firstRowFirstColumn="0" w:firstRowLastColumn="0" w:lastRowFirstColumn="0" w:lastRowLastColumn="0"/>
              <w:rPr>
                <w:sz w:val="18"/>
                <w:szCs w:val="18"/>
              </w:rPr>
            </w:pPr>
            <w:r w:rsidRPr="00FC4CA4">
              <w:rPr>
                <w:sz w:val="18"/>
                <w:szCs w:val="18"/>
              </w:rPr>
              <w:t>Pollutants</w:t>
            </w:r>
          </w:p>
        </w:tc>
      </w:tr>
      <w:tr w:rsidR="00AE7B75" w:rsidRPr="00FC4CA4" w14:paraId="10EDC605" w14:textId="77777777" w:rsidTr="00AE7B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645CDCAA" w14:textId="77777777" w:rsidR="00AE7B75" w:rsidRPr="00FC4CA4" w:rsidRDefault="00AE7B75" w:rsidP="008570B7">
            <w:pPr>
              <w:rPr>
                <w:b w:val="0"/>
                <w:sz w:val="18"/>
                <w:szCs w:val="18"/>
              </w:rPr>
            </w:pPr>
            <w:r w:rsidRPr="00FC4CA4">
              <w:rPr>
                <w:sz w:val="18"/>
                <w:szCs w:val="18"/>
              </w:rPr>
              <w:t>Chesapeake Bay Watershed (entities subject to Bay TMDL requirements)</w:t>
            </w:r>
          </w:p>
        </w:tc>
        <w:tc>
          <w:tcPr>
            <w:tcW w:w="3690" w:type="dxa"/>
          </w:tcPr>
          <w:p w14:paraId="598A45BD"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-Reduction efficiency - % reduction from existing load</w:t>
            </w:r>
          </w:p>
          <w:p w14:paraId="28A257A7"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-Qualifying lane miles -</w:t>
            </w:r>
            <w:proofErr w:type="spellStart"/>
            <w:r w:rsidRPr="00FC4CA4">
              <w:rPr>
                <w:sz w:val="18"/>
                <w:szCs w:val="18"/>
              </w:rPr>
              <w:t>lb</w:t>
            </w:r>
            <w:proofErr w:type="spellEnd"/>
            <w:r w:rsidRPr="00FC4CA4">
              <w:rPr>
                <w:sz w:val="18"/>
                <w:szCs w:val="18"/>
              </w:rPr>
              <w:t>/acre reduction</w:t>
            </w:r>
          </w:p>
          <w:p w14:paraId="77095C09"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-Mass load reduction</w:t>
            </w:r>
          </w:p>
        </w:tc>
        <w:tc>
          <w:tcPr>
            <w:tcW w:w="1924" w:type="dxa"/>
          </w:tcPr>
          <w:p w14:paraId="3D1CB237"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TN, TP, TSS</w:t>
            </w:r>
          </w:p>
        </w:tc>
      </w:tr>
      <w:tr w:rsidR="00AE7B75" w:rsidRPr="00FC4CA4" w14:paraId="61DA25CE" w14:textId="77777777" w:rsidTr="00AE7B75">
        <w:tc>
          <w:tcPr>
            <w:cnfStyle w:val="001000000000" w:firstRow="0" w:lastRow="0" w:firstColumn="1" w:lastColumn="0" w:oddVBand="0" w:evenVBand="0" w:oddHBand="0" w:evenHBand="0" w:firstRowFirstColumn="0" w:firstRowLastColumn="0" w:lastRowFirstColumn="0" w:lastRowLastColumn="0"/>
            <w:tcW w:w="3955" w:type="dxa"/>
          </w:tcPr>
          <w:p w14:paraId="0CD25FB9" w14:textId="77777777" w:rsidR="00AE7B75" w:rsidRPr="00FC4CA4" w:rsidRDefault="00AE7B75" w:rsidP="008570B7">
            <w:pPr>
              <w:rPr>
                <w:b w:val="0"/>
                <w:sz w:val="18"/>
                <w:szCs w:val="18"/>
              </w:rPr>
            </w:pPr>
            <w:r w:rsidRPr="00FC4CA4">
              <w:rPr>
                <w:sz w:val="18"/>
                <w:szCs w:val="18"/>
              </w:rPr>
              <w:t xml:space="preserve">Florida </w:t>
            </w:r>
          </w:p>
        </w:tc>
        <w:tc>
          <w:tcPr>
            <w:tcW w:w="3690" w:type="dxa"/>
          </w:tcPr>
          <w:p w14:paraId="7DAEEEA1" w14:textId="77777777" w:rsidR="00AE7B75" w:rsidRPr="00FC4CA4" w:rsidRDefault="00AE7B75" w:rsidP="008570B7">
            <w:pPr>
              <w:cnfStyle w:val="000000000000" w:firstRow="0" w:lastRow="0" w:firstColumn="0" w:lastColumn="0" w:oddVBand="0" w:evenVBand="0" w:oddHBand="0" w:evenHBand="0" w:firstRowFirstColumn="0" w:firstRowLastColumn="0" w:lastRowFirstColumn="0" w:lastRowLastColumn="0"/>
              <w:rPr>
                <w:sz w:val="18"/>
                <w:szCs w:val="18"/>
              </w:rPr>
            </w:pPr>
            <w:r w:rsidRPr="00FC4CA4">
              <w:rPr>
                <w:sz w:val="18"/>
                <w:szCs w:val="18"/>
              </w:rPr>
              <w:t>Mass load reduction</w:t>
            </w:r>
          </w:p>
        </w:tc>
        <w:tc>
          <w:tcPr>
            <w:tcW w:w="1924" w:type="dxa"/>
          </w:tcPr>
          <w:p w14:paraId="3B05A00F" w14:textId="77777777" w:rsidR="00AE7B75" w:rsidRPr="00FC4CA4" w:rsidRDefault="00AE7B75" w:rsidP="008570B7">
            <w:pPr>
              <w:cnfStyle w:val="000000000000" w:firstRow="0" w:lastRow="0" w:firstColumn="0" w:lastColumn="0" w:oddVBand="0" w:evenVBand="0" w:oddHBand="0" w:evenHBand="0" w:firstRowFirstColumn="0" w:firstRowLastColumn="0" w:lastRowFirstColumn="0" w:lastRowLastColumn="0"/>
              <w:rPr>
                <w:sz w:val="18"/>
                <w:szCs w:val="18"/>
              </w:rPr>
            </w:pPr>
            <w:r w:rsidRPr="00FC4CA4">
              <w:rPr>
                <w:sz w:val="18"/>
                <w:szCs w:val="18"/>
              </w:rPr>
              <w:t>TN, TP</w:t>
            </w:r>
          </w:p>
        </w:tc>
      </w:tr>
      <w:tr w:rsidR="00AE7B75" w:rsidRPr="00FC4CA4" w14:paraId="536F1E2C" w14:textId="77777777" w:rsidTr="00AE7B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08E93F2F" w14:textId="77777777" w:rsidR="00AE7B75" w:rsidRPr="00FC4CA4" w:rsidRDefault="00AE7B75" w:rsidP="008570B7">
            <w:pPr>
              <w:rPr>
                <w:sz w:val="18"/>
                <w:szCs w:val="18"/>
              </w:rPr>
            </w:pPr>
            <w:r w:rsidRPr="00FC4CA4">
              <w:rPr>
                <w:sz w:val="18"/>
                <w:szCs w:val="18"/>
              </w:rPr>
              <w:t>EPA Region 1 (New Hampshire and Massachusetts MS4 permittees)</w:t>
            </w:r>
          </w:p>
        </w:tc>
        <w:tc>
          <w:tcPr>
            <w:tcW w:w="3690" w:type="dxa"/>
          </w:tcPr>
          <w:p w14:paraId="77299E66"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Mass load reduction with efficiency factors</w:t>
            </w:r>
          </w:p>
        </w:tc>
        <w:tc>
          <w:tcPr>
            <w:tcW w:w="1924" w:type="dxa"/>
          </w:tcPr>
          <w:p w14:paraId="12AEB554"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TN (NH only), TP</w:t>
            </w:r>
          </w:p>
        </w:tc>
      </w:tr>
      <w:tr w:rsidR="00AE7B75" w:rsidRPr="00FC4CA4" w14:paraId="3AFFD887" w14:textId="77777777" w:rsidTr="00AE7B75">
        <w:tc>
          <w:tcPr>
            <w:cnfStyle w:val="001000000000" w:firstRow="0" w:lastRow="0" w:firstColumn="1" w:lastColumn="0" w:oddVBand="0" w:evenVBand="0" w:oddHBand="0" w:evenHBand="0" w:firstRowFirstColumn="0" w:firstRowLastColumn="0" w:lastRowFirstColumn="0" w:lastRowLastColumn="0"/>
            <w:tcW w:w="3955" w:type="dxa"/>
          </w:tcPr>
          <w:p w14:paraId="68E562D6" w14:textId="77777777" w:rsidR="00AE7B75" w:rsidRPr="00FC4CA4" w:rsidRDefault="00AE7B75" w:rsidP="008570B7">
            <w:pPr>
              <w:rPr>
                <w:b w:val="0"/>
                <w:sz w:val="18"/>
                <w:szCs w:val="18"/>
              </w:rPr>
            </w:pPr>
            <w:r w:rsidRPr="00FC4CA4">
              <w:rPr>
                <w:sz w:val="18"/>
                <w:szCs w:val="18"/>
              </w:rPr>
              <w:t>Massachusetts – stormwater requirements (not linked to MS4 permit)</w:t>
            </w:r>
          </w:p>
        </w:tc>
        <w:tc>
          <w:tcPr>
            <w:tcW w:w="3690" w:type="dxa"/>
          </w:tcPr>
          <w:p w14:paraId="430D9850" w14:textId="77777777" w:rsidR="00AE7B75" w:rsidRPr="00FC4CA4" w:rsidRDefault="00AE7B75" w:rsidP="008570B7">
            <w:pPr>
              <w:cnfStyle w:val="000000000000" w:firstRow="0" w:lastRow="0" w:firstColumn="0" w:lastColumn="0" w:oddVBand="0" w:evenVBand="0" w:oddHBand="0" w:evenHBand="0" w:firstRowFirstColumn="0" w:firstRowLastColumn="0" w:lastRowFirstColumn="0" w:lastRowLastColumn="0"/>
              <w:rPr>
                <w:sz w:val="18"/>
                <w:szCs w:val="18"/>
              </w:rPr>
            </w:pPr>
            <w:r w:rsidRPr="00FC4CA4">
              <w:rPr>
                <w:sz w:val="18"/>
                <w:szCs w:val="18"/>
              </w:rPr>
              <w:t>Reduction efficiency - %</w:t>
            </w:r>
          </w:p>
        </w:tc>
        <w:tc>
          <w:tcPr>
            <w:tcW w:w="1924" w:type="dxa"/>
          </w:tcPr>
          <w:p w14:paraId="7B991677" w14:textId="77777777" w:rsidR="00AE7B75" w:rsidRPr="00FC4CA4" w:rsidRDefault="00AE7B75" w:rsidP="008570B7">
            <w:pPr>
              <w:cnfStyle w:val="000000000000" w:firstRow="0" w:lastRow="0" w:firstColumn="0" w:lastColumn="0" w:oddVBand="0" w:evenVBand="0" w:oddHBand="0" w:evenHBand="0" w:firstRowFirstColumn="0" w:firstRowLastColumn="0" w:lastRowFirstColumn="0" w:lastRowLastColumn="0"/>
              <w:rPr>
                <w:sz w:val="18"/>
                <w:szCs w:val="18"/>
              </w:rPr>
            </w:pPr>
            <w:r w:rsidRPr="00FC4CA4">
              <w:rPr>
                <w:sz w:val="18"/>
                <w:szCs w:val="18"/>
              </w:rPr>
              <w:t>TSS</w:t>
            </w:r>
          </w:p>
        </w:tc>
      </w:tr>
      <w:tr w:rsidR="00AE7B75" w:rsidRPr="00FC4CA4" w14:paraId="112D2B80" w14:textId="77777777" w:rsidTr="00AE7B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04229248" w14:textId="77777777" w:rsidR="00AE7B75" w:rsidRPr="00FC4CA4" w:rsidRDefault="00AE7B75" w:rsidP="008570B7">
            <w:pPr>
              <w:rPr>
                <w:b w:val="0"/>
                <w:sz w:val="18"/>
                <w:szCs w:val="18"/>
              </w:rPr>
            </w:pPr>
            <w:r w:rsidRPr="00FC4CA4">
              <w:rPr>
                <w:sz w:val="18"/>
                <w:szCs w:val="18"/>
              </w:rPr>
              <w:t xml:space="preserve">Wisconsin </w:t>
            </w:r>
          </w:p>
        </w:tc>
        <w:tc>
          <w:tcPr>
            <w:tcW w:w="3690" w:type="dxa"/>
          </w:tcPr>
          <w:p w14:paraId="3D528276"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-Reduction efficiency - progress towards % reduction target</w:t>
            </w:r>
          </w:p>
          <w:p w14:paraId="2163CC73"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-Reduction efficiency - %</w:t>
            </w:r>
          </w:p>
        </w:tc>
        <w:tc>
          <w:tcPr>
            <w:tcW w:w="1924" w:type="dxa"/>
          </w:tcPr>
          <w:p w14:paraId="0CA71A9E"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TSS, with conversion to TP</w:t>
            </w:r>
          </w:p>
          <w:p w14:paraId="01B4D3C7"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TP</w:t>
            </w:r>
          </w:p>
        </w:tc>
      </w:tr>
      <w:tr w:rsidR="00AE7B75" w:rsidRPr="00FC4CA4" w14:paraId="141BCDB2" w14:textId="77777777" w:rsidTr="00AE7B75">
        <w:tc>
          <w:tcPr>
            <w:cnfStyle w:val="001000000000" w:firstRow="0" w:lastRow="0" w:firstColumn="1" w:lastColumn="0" w:oddVBand="0" w:evenVBand="0" w:oddHBand="0" w:evenHBand="0" w:firstRowFirstColumn="0" w:firstRowLastColumn="0" w:lastRowFirstColumn="0" w:lastRowLastColumn="0"/>
            <w:tcW w:w="3955" w:type="dxa"/>
          </w:tcPr>
          <w:p w14:paraId="0CEA7571" w14:textId="77777777" w:rsidR="00AE7B75" w:rsidRPr="00FC4CA4" w:rsidRDefault="00AE7B75" w:rsidP="008570B7">
            <w:pPr>
              <w:rPr>
                <w:sz w:val="18"/>
                <w:szCs w:val="18"/>
              </w:rPr>
            </w:pPr>
            <w:r w:rsidRPr="00FC4CA4">
              <w:rPr>
                <w:sz w:val="18"/>
                <w:szCs w:val="18"/>
              </w:rPr>
              <w:t>Washington Ecology – MS4 permittees with TMDL</w:t>
            </w:r>
          </w:p>
        </w:tc>
        <w:tc>
          <w:tcPr>
            <w:tcW w:w="3690" w:type="dxa"/>
          </w:tcPr>
          <w:p w14:paraId="19A8336A" w14:textId="77777777" w:rsidR="00AE7B75" w:rsidRPr="00FC4CA4" w:rsidRDefault="00AE7B75" w:rsidP="008570B7">
            <w:pPr>
              <w:cnfStyle w:val="000000000000" w:firstRow="0" w:lastRow="0" w:firstColumn="0" w:lastColumn="0" w:oddVBand="0" w:evenVBand="0" w:oddHBand="0" w:evenHBand="0" w:firstRowFirstColumn="0" w:firstRowLastColumn="0" w:lastRowFirstColumn="0" w:lastRowLastColumn="0"/>
              <w:rPr>
                <w:sz w:val="18"/>
                <w:szCs w:val="18"/>
              </w:rPr>
            </w:pPr>
            <w:r w:rsidRPr="00FC4CA4">
              <w:rPr>
                <w:sz w:val="18"/>
                <w:szCs w:val="18"/>
              </w:rPr>
              <w:t>Mass load reduction, effective developed acres reduction</w:t>
            </w:r>
          </w:p>
        </w:tc>
        <w:tc>
          <w:tcPr>
            <w:tcW w:w="1924" w:type="dxa"/>
          </w:tcPr>
          <w:p w14:paraId="64C9284C" w14:textId="77777777" w:rsidR="00AE7B75" w:rsidRPr="00FC4CA4" w:rsidRDefault="00AE7B75" w:rsidP="008570B7">
            <w:pPr>
              <w:cnfStyle w:val="000000000000" w:firstRow="0" w:lastRow="0" w:firstColumn="0" w:lastColumn="0" w:oddVBand="0" w:evenVBand="0" w:oddHBand="0" w:evenHBand="0" w:firstRowFirstColumn="0" w:firstRowLastColumn="0" w:lastRowFirstColumn="0" w:lastRowLastColumn="0"/>
              <w:rPr>
                <w:sz w:val="18"/>
                <w:szCs w:val="18"/>
              </w:rPr>
            </w:pPr>
            <w:r w:rsidRPr="00FC4CA4">
              <w:rPr>
                <w:sz w:val="18"/>
                <w:szCs w:val="18"/>
              </w:rPr>
              <w:t>TP, sediment</w:t>
            </w:r>
          </w:p>
        </w:tc>
      </w:tr>
      <w:tr w:rsidR="009D1607" w:rsidRPr="00FC4CA4" w14:paraId="406E512D" w14:textId="77777777" w:rsidTr="00AE7B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09AED03A" w14:textId="77777777" w:rsidR="00AE7B75" w:rsidRPr="00FC4CA4" w:rsidRDefault="00AE7B75" w:rsidP="008570B7">
            <w:pPr>
              <w:rPr>
                <w:b w:val="0"/>
                <w:sz w:val="18"/>
                <w:szCs w:val="18"/>
              </w:rPr>
            </w:pPr>
            <w:r w:rsidRPr="00FC4CA4">
              <w:rPr>
                <w:sz w:val="18"/>
                <w:szCs w:val="18"/>
              </w:rPr>
              <w:t>County and City of San Diego and MS4 Co-permittees</w:t>
            </w:r>
          </w:p>
        </w:tc>
        <w:tc>
          <w:tcPr>
            <w:tcW w:w="3690" w:type="dxa"/>
          </w:tcPr>
          <w:p w14:paraId="1276FB25"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Performance-based compliance</w:t>
            </w:r>
          </w:p>
        </w:tc>
        <w:tc>
          <w:tcPr>
            <w:tcW w:w="1924" w:type="dxa"/>
          </w:tcPr>
          <w:p w14:paraId="798D6526"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Cu, Zn, Pb, TKN, TP</w:t>
            </w:r>
          </w:p>
        </w:tc>
      </w:tr>
      <w:tr w:rsidR="009D1607" w:rsidRPr="00FC4CA4" w14:paraId="0F4D07B7" w14:textId="77777777" w:rsidTr="00AE7B75">
        <w:tc>
          <w:tcPr>
            <w:cnfStyle w:val="001000000000" w:firstRow="0" w:lastRow="0" w:firstColumn="1" w:lastColumn="0" w:oddVBand="0" w:evenVBand="0" w:oddHBand="0" w:evenHBand="0" w:firstRowFirstColumn="0" w:firstRowLastColumn="0" w:lastRowFirstColumn="0" w:lastRowLastColumn="0"/>
            <w:tcW w:w="3955" w:type="dxa"/>
          </w:tcPr>
          <w:p w14:paraId="632CF440" w14:textId="77777777" w:rsidR="00AE7B75" w:rsidRPr="00FC4CA4" w:rsidRDefault="00AE7B75" w:rsidP="008570B7">
            <w:pPr>
              <w:rPr>
                <w:b w:val="0"/>
                <w:sz w:val="18"/>
                <w:szCs w:val="18"/>
              </w:rPr>
            </w:pPr>
            <w:r w:rsidRPr="00FC4CA4">
              <w:rPr>
                <w:sz w:val="18"/>
                <w:szCs w:val="18"/>
              </w:rPr>
              <w:t>Orange County and MS4 Co-permittees</w:t>
            </w:r>
          </w:p>
        </w:tc>
        <w:tc>
          <w:tcPr>
            <w:tcW w:w="3690" w:type="dxa"/>
          </w:tcPr>
          <w:p w14:paraId="4EA33156" w14:textId="77777777" w:rsidR="00AE7B75" w:rsidRPr="00FC4CA4" w:rsidRDefault="00AE7B75" w:rsidP="008570B7">
            <w:pPr>
              <w:cnfStyle w:val="000000000000" w:firstRow="0" w:lastRow="0" w:firstColumn="0" w:lastColumn="0" w:oddVBand="0" w:evenVBand="0" w:oddHBand="0" w:evenHBand="0" w:firstRowFirstColumn="0" w:firstRowLastColumn="0" w:lastRowFirstColumn="0" w:lastRowLastColumn="0"/>
              <w:rPr>
                <w:sz w:val="18"/>
                <w:szCs w:val="18"/>
              </w:rPr>
            </w:pPr>
            <w:r w:rsidRPr="00FC4CA4">
              <w:rPr>
                <w:sz w:val="18"/>
                <w:szCs w:val="18"/>
              </w:rPr>
              <w:t xml:space="preserve">Reduction efficiency - % </w:t>
            </w:r>
          </w:p>
        </w:tc>
        <w:tc>
          <w:tcPr>
            <w:tcW w:w="1924" w:type="dxa"/>
          </w:tcPr>
          <w:p w14:paraId="65A89445" w14:textId="77777777" w:rsidR="00AE7B75" w:rsidRPr="00FC4CA4" w:rsidRDefault="00AE7B75" w:rsidP="008570B7">
            <w:pPr>
              <w:cnfStyle w:val="000000000000" w:firstRow="0" w:lastRow="0" w:firstColumn="0" w:lastColumn="0" w:oddVBand="0" w:evenVBand="0" w:oddHBand="0" w:evenHBand="0" w:firstRowFirstColumn="0" w:firstRowLastColumn="0" w:lastRowFirstColumn="0" w:lastRowLastColumn="0"/>
              <w:rPr>
                <w:sz w:val="18"/>
                <w:szCs w:val="18"/>
              </w:rPr>
            </w:pPr>
            <w:r w:rsidRPr="00FC4CA4">
              <w:rPr>
                <w:sz w:val="18"/>
                <w:szCs w:val="18"/>
              </w:rPr>
              <w:t>Bacteria, sediment</w:t>
            </w:r>
          </w:p>
        </w:tc>
      </w:tr>
      <w:tr w:rsidR="009D1607" w:rsidRPr="00FC4CA4" w14:paraId="6564C1B8" w14:textId="77777777" w:rsidTr="00AE7B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192DB97F" w14:textId="77777777" w:rsidR="00AE7B75" w:rsidRPr="00FC4CA4" w:rsidRDefault="00AE7B75" w:rsidP="008570B7">
            <w:pPr>
              <w:rPr>
                <w:b w:val="0"/>
                <w:sz w:val="18"/>
                <w:szCs w:val="18"/>
              </w:rPr>
            </w:pPr>
            <w:r w:rsidRPr="00FC4CA4">
              <w:rPr>
                <w:sz w:val="18"/>
                <w:szCs w:val="18"/>
              </w:rPr>
              <w:t>City of Santa Cruz, California</w:t>
            </w:r>
          </w:p>
        </w:tc>
        <w:tc>
          <w:tcPr>
            <w:tcW w:w="3690" w:type="dxa"/>
          </w:tcPr>
          <w:p w14:paraId="0A31F197"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Modeled load reduction</w:t>
            </w:r>
          </w:p>
        </w:tc>
        <w:tc>
          <w:tcPr>
            <w:tcW w:w="1924" w:type="dxa"/>
          </w:tcPr>
          <w:p w14:paraId="390DE707"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Sediment</w:t>
            </w:r>
          </w:p>
        </w:tc>
      </w:tr>
      <w:tr w:rsidR="009D1607" w:rsidRPr="00FC4CA4" w14:paraId="5C980528" w14:textId="77777777" w:rsidTr="00AE7B75">
        <w:tc>
          <w:tcPr>
            <w:cnfStyle w:val="001000000000" w:firstRow="0" w:lastRow="0" w:firstColumn="1" w:lastColumn="0" w:oddVBand="0" w:evenVBand="0" w:oddHBand="0" w:evenHBand="0" w:firstRowFirstColumn="0" w:firstRowLastColumn="0" w:lastRowFirstColumn="0" w:lastRowLastColumn="0"/>
            <w:tcW w:w="3955" w:type="dxa"/>
          </w:tcPr>
          <w:p w14:paraId="6568A94D" w14:textId="35B7396F" w:rsidR="00AE7B75" w:rsidRPr="00FC4CA4" w:rsidRDefault="00AE7B75" w:rsidP="008570B7">
            <w:pPr>
              <w:rPr>
                <w:b w:val="0"/>
                <w:sz w:val="18"/>
                <w:szCs w:val="18"/>
              </w:rPr>
            </w:pPr>
            <w:r w:rsidRPr="00FC4CA4">
              <w:rPr>
                <w:sz w:val="18"/>
                <w:szCs w:val="18"/>
              </w:rPr>
              <w:t>Vermont</w:t>
            </w:r>
            <w:r w:rsidR="003E4507">
              <w:rPr>
                <w:sz w:val="18"/>
                <w:szCs w:val="18"/>
              </w:rPr>
              <w:t xml:space="preserve"> (Under development)</w:t>
            </w:r>
          </w:p>
        </w:tc>
        <w:tc>
          <w:tcPr>
            <w:tcW w:w="3690" w:type="dxa"/>
          </w:tcPr>
          <w:p w14:paraId="7B33D9AB" w14:textId="77777777" w:rsidR="00AE7B75" w:rsidRPr="00FC4CA4" w:rsidRDefault="00AE7B75" w:rsidP="008570B7">
            <w:pPr>
              <w:cnfStyle w:val="000000000000" w:firstRow="0" w:lastRow="0" w:firstColumn="0" w:lastColumn="0" w:oddVBand="0" w:evenVBand="0" w:oddHBand="0" w:evenHBand="0" w:firstRowFirstColumn="0" w:firstRowLastColumn="0" w:lastRowFirstColumn="0" w:lastRowLastColumn="0"/>
              <w:rPr>
                <w:sz w:val="18"/>
                <w:szCs w:val="18"/>
              </w:rPr>
            </w:pPr>
            <w:r w:rsidRPr="00FC4CA4">
              <w:rPr>
                <w:sz w:val="18"/>
                <w:szCs w:val="18"/>
              </w:rPr>
              <w:t>Interim – modeled load reduction</w:t>
            </w:r>
          </w:p>
          <w:p w14:paraId="0F326824" w14:textId="77777777" w:rsidR="00AE7B75" w:rsidRPr="00FC4CA4" w:rsidRDefault="00AE7B75" w:rsidP="008570B7">
            <w:pPr>
              <w:cnfStyle w:val="000000000000" w:firstRow="0" w:lastRow="0" w:firstColumn="0" w:lastColumn="0" w:oddVBand="0" w:evenVBand="0" w:oddHBand="0" w:evenHBand="0" w:firstRowFirstColumn="0" w:firstRowLastColumn="0" w:lastRowFirstColumn="0" w:lastRowLastColumn="0"/>
              <w:rPr>
                <w:sz w:val="18"/>
                <w:szCs w:val="18"/>
              </w:rPr>
            </w:pPr>
            <w:r w:rsidRPr="00FC4CA4">
              <w:rPr>
                <w:sz w:val="18"/>
                <w:szCs w:val="18"/>
              </w:rPr>
              <w:t>Permanent – under development</w:t>
            </w:r>
          </w:p>
        </w:tc>
        <w:tc>
          <w:tcPr>
            <w:tcW w:w="1924" w:type="dxa"/>
          </w:tcPr>
          <w:p w14:paraId="1BD1D9AA" w14:textId="77777777" w:rsidR="00AE7B75" w:rsidRPr="00FC4CA4" w:rsidRDefault="00AE7B75" w:rsidP="008570B7">
            <w:pPr>
              <w:cnfStyle w:val="000000000000" w:firstRow="0" w:lastRow="0" w:firstColumn="0" w:lastColumn="0" w:oddVBand="0" w:evenVBand="0" w:oddHBand="0" w:evenHBand="0" w:firstRowFirstColumn="0" w:firstRowLastColumn="0" w:lastRowFirstColumn="0" w:lastRowLastColumn="0"/>
              <w:rPr>
                <w:sz w:val="18"/>
                <w:szCs w:val="18"/>
              </w:rPr>
            </w:pPr>
            <w:r w:rsidRPr="00FC4CA4">
              <w:rPr>
                <w:sz w:val="18"/>
                <w:szCs w:val="18"/>
              </w:rPr>
              <w:t>TP</w:t>
            </w:r>
          </w:p>
        </w:tc>
      </w:tr>
      <w:tr w:rsidR="009D1607" w:rsidRPr="00FC4CA4" w14:paraId="69551512" w14:textId="77777777" w:rsidTr="00AE7B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4F0AA46D" w14:textId="51231C8F" w:rsidR="00AE7B75" w:rsidRPr="00FC4CA4" w:rsidRDefault="00AE7B75" w:rsidP="008570B7">
            <w:pPr>
              <w:rPr>
                <w:b w:val="0"/>
                <w:sz w:val="18"/>
                <w:szCs w:val="18"/>
              </w:rPr>
            </w:pPr>
            <w:r w:rsidRPr="00FC4CA4">
              <w:rPr>
                <w:sz w:val="18"/>
                <w:szCs w:val="18"/>
              </w:rPr>
              <w:t xml:space="preserve">North Carolina </w:t>
            </w:r>
            <w:r w:rsidR="003E4507">
              <w:rPr>
                <w:sz w:val="18"/>
                <w:szCs w:val="18"/>
              </w:rPr>
              <w:t>(Under development</w:t>
            </w:r>
          </w:p>
        </w:tc>
        <w:tc>
          <w:tcPr>
            <w:tcW w:w="3690" w:type="dxa"/>
          </w:tcPr>
          <w:p w14:paraId="6652BBB8"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Mass load reduction</w:t>
            </w:r>
          </w:p>
        </w:tc>
        <w:tc>
          <w:tcPr>
            <w:tcW w:w="1924" w:type="dxa"/>
          </w:tcPr>
          <w:p w14:paraId="0EF85EAF" w14:textId="77777777" w:rsidR="00AE7B75" w:rsidRPr="00FC4CA4" w:rsidRDefault="00AE7B75" w:rsidP="008570B7">
            <w:pPr>
              <w:cnfStyle w:val="000000100000" w:firstRow="0" w:lastRow="0" w:firstColumn="0" w:lastColumn="0" w:oddVBand="0" w:evenVBand="0" w:oddHBand="1" w:evenHBand="0" w:firstRowFirstColumn="0" w:firstRowLastColumn="0" w:lastRowFirstColumn="0" w:lastRowLastColumn="0"/>
              <w:rPr>
                <w:sz w:val="18"/>
                <w:szCs w:val="18"/>
              </w:rPr>
            </w:pPr>
            <w:r w:rsidRPr="00FC4CA4">
              <w:rPr>
                <w:sz w:val="18"/>
                <w:szCs w:val="18"/>
              </w:rPr>
              <w:t>TN, TP</w:t>
            </w:r>
          </w:p>
        </w:tc>
      </w:tr>
    </w:tbl>
    <w:p w14:paraId="5B017CCE" w14:textId="0F808EEC" w:rsidR="009D1607" w:rsidRDefault="009D1607" w:rsidP="009D1607"/>
    <w:p w14:paraId="51F79AFF" w14:textId="2302095F" w:rsidR="00FC4CA4" w:rsidRDefault="00FC4CA4" w:rsidP="009D1607"/>
    <w:p w14:paraId="44480D36" w14:textId="01775B98" w:rsidR="00AE7B75" w:rsidRDefault="00184896" w:rsidP="001E4FD0">
      <w:pPr>
        <w:pStyle w:val="Heading2"/>
      </w:pPr>
      <w:r w:rsidRPr="00D1076C">
        <w:t xml:space="preserve">Chesapeake Bay </w:t>
      </w:r>
      <w:r>
        <w:t>Watershed (</w:t>
      </w:r>
      <w:r w:rsidRPr="00D93EE5">
        <w:t xml:space="preserve">Chesapeake Bay </w:t>
      </w:r>
      <w:r w:rsidRPr="00D1076C">
        <w:t>Program, U.S. EPA</w:t>
      </w:r>
      <w:r>
        <w:t>)</w:t>
      </w:r>
    </w:p>
    <w:p w14:paraId="0790D095" w14:textId="77777777" w:rsidR="00184896" w:rsidRDefault="00184896" w:rsidP="00184896">
      <w:r w:rsidRPr="00941990">
        <w:rPr>
          <w:b/>
        </w:rPr>
        <w:t>Crediting Method:</w:t>
      </w:r>
      <w:r>
        <w:t xml:space="preserve"> Reduction efficiency based on acres swept</w:t>
      </w:r>
    </w:p>
    <w:p w14:paraId="599E85D8" w14:textId="77777777" w:rsidR="00184896" w:rsidRDefault="00184896" w:rsidP="00184896">
      <w:r w:rsidRPr="00941990">
        <w:rPr>
          <w:b/>
        </w:rPr>
        <w:t>Applicability:</w:t>
      </w:r>
      <w:r>
        <w:t xml:space="preserve"> Chesapeake Bay watershed (NY, PA, DE, DC, MD, VA, WV) jurisdictions seeking Chesapeake Bay TMDL nutrient reduction credits.</w:t>
      </w:r>
    </w:p>
    <w:p w14:paraId="3181A5A2" w14:textId="21BD719E" w:rsidR="00184896" w:rsidRDefault="00184896" w:rsidP="00184896">
      <w:r w:rsidRPr="00941990">
        <w:rPr>
          <w:b/>
        </w:rPr>
        <w:t>Details:</w:t>
      </w:r>
      <w:r>
        <w:t xml:space="preserve"> The Chesapeake Bay Program Expert Panel on Street Sweeping developed a crediting method for jurisdictions subject to the Chesapeake Bay TMDL (</w:t>
      </w:r>
      <w:proofErr w:type="spellStart"/>
      <w:r w:rsidRPr="00D93EE5">
        <w:t>Schueler</w:t>
      </w:r>
      <w:proofErr w:type="spellEnd"/>
      <w:r w:rsidRPr="00D93EE5">
        <w:t xml:space="preserve"> et al. 2016</w:t>
      </w:r>
      <w:r>
        <w:t xml:space="preserve">). </w:t>
      </w:r>
      <w:proofErr w:type="spellStart"/>
      <w:r>
        <w:t>WinSLAMM</w:t>
      </w:r>
      <w:proofErr w:type="spellEnd"/>
      <w:r>
        <w:t xml:space="preserve"> was used to simulate sediment reduction from nearly 1,000 street cleaning scenarios that varied by the length of winter shutdown, types of streets, sweeper technologies</w:t>
      </w:r>
      <w:r w:rsidR="00001638">
        <w:t>,</w:t>
      </w:r>
      <w:r>
        <w:t xml:space="preserve"> cleaning frequencies and street parking conditions and controls. </w:t>
      </w:r>
      <w:proofErr w:type="spellStart"/>
      <w:r w:rsidR="00D243A4">
        <w:t>WinSLAMM</w:t>
      </w:r>
      <w:proofErr w:type="spellEnd"/>
      <w:r w:rsidR="00D243A4">
        <w:t xml:space="preserve"> does not explicitly simulate nutrients. Nutrient percent reductions are based on empirical nutrient enrichment ratios of street solids (</w:t>
      </w:r>
      <w:proofErr w:type="spellStart"/>
      <w:r w:rsidR="00D243A4">
        <w:t>Schueler</w:t>
      </w:r>
      <w:proofErr w:type="spellEnd"/>
      <w:r w:rsidR="00D243A4">
        <w:t xml:space="preserve"> et al. 2016). </w:t>
      </w:r>
    </w:p>
    <w:p w14:paraId="55BBFC7C" w14:textId="7BBC8ADE" w:rsidR="00184896" w:rsidRDefault="00184896" w:rsidP="00184896">
      <w:r>
        <w:t xml:space="preserve">To simplify the crediting, the modeled scenarios were reduced to 11 different practices, based on the type of street sweeper, and the number of times a street is swept per year. Mechanical broom technology was assigned 0% efficiency for all sweeping regimes and only a negligible TSS reduction efficiency. </w:t>
      </w:r>
      <w:r w:rsidR="00D243A4">
        <w:t xml:space="preserve">The </w:t>
      </w:r>
      <w:r w:rsidR="00D243A4">
        <w:t xml:space="preserve">TSS </w:t>
      </w:r>
      <w:r w:rsidR="00D243A4">
        <w:t>percent reduction is applied to the unit area sediment load for impervious cover in the Chesapeake Bay Watershed Model</w:t>
      </w:r>
      <w:r w:rsidR="00D243A4">
        <w:t xml:space="preserve"> </w:t>
      </w:r>
      <w:r w:rsidR="00D243A4">
        <w:t xml:space="preserve">(CBWM) </w:t>
      </w:r>
      <w:r w:rsidR="00D243A4">
        <w:t>to determine the mass reduced.  The nutrient reductions are ap</w:t>
      </w:r>
      <w:r w:rsidR="00D243A4">
        <w:t xml:space="preserve">plied to the </w:t>
      </w:r>
      <w:r w:rsidR="00D243A4">
        <w:t>unit area nitrogen and phosphorus loads for impervious cover in the CBWM.</w:t>
      </w:r>
      <w:r w:rsidR="00D243A4" w:rsidRPr="00D243A4">
        <w:t xml:space="preserve"> </w:t>
      </w:r>
      <w:r w:rsidR="00D243A4">
        <w:fldChar w:fldCharType="begin"/>
      </w:r>
      <w:r w:rsidR="00D243A4">
        <w:instrText xml:space="preserve"> REF _Ref6812909 \h </w:instrText>
      </w:r>
      <w:r w:rsidR="00D243A4">
        <w:fldChar w:fldCharType="separate"/>
      </w:r>
      <w:r w:rsidR="00D243A4">
        <w:t xml:space="preserve">Table </w:t>
      </w:r>
      <w:r w:rsidR="00D243A4">
        <w:rPr>
          <w:noProof/>
        </w:rPr>
        <w:t>2</w:t>
      </w:r>
      <w:r w:rsidR="00D243A4">
        <w:fldChar w:fldCharType="end"/>
      </w:r>
      <w:r w:rsidR="00D243A4">
        <w:t xml:space="preserve"> summarizes the crediting for the Chesapeake Bay Program.</w:t>
      </w:r>
    </w:p>
    <w:p w14:paraId="27D20993" w14:textId="77777777" w:rsidR="00184896" w:rsidRDefault="00184896" w:rsidP="00184896">
      <w:r>
        <w:t xml:space="preserve">The credit is only available for curb and gutter roadways and is reported as curb-lane miles swept. Each mile of curb-lane is equivalent to one impervious acre. </w:t>
      </w:r>
    </w:p>
    <w:p w14:paraId="3FC60ECA" w14:textId="28774583" w:rsidR="00184896" w:rsidRPr="000502D0" w:rsidRDefault="00184896" w:rsidP="00184896">
      <w:r w:rsidRPr="00941990">
        <w:rPr>
          <w:b/>
        </w:rPr>
        <w:t>Tracking and Reporting:</w:t>
      </w:r>
      <w:r>
        <w:rPr>
          <w:b/>
        </w:rPr>
        <w:t xml:space="preserve"> </w:t>
      </w:r>
      <w:r>
        <w:t xml:space="preserve">To receive credit for the Chesapeake Bay TMDL, annual street cleaning information is reported by practice, as shown in </w:t>
      </w:r>
      <w:r>
        <w:fldChar w:fldCharType="begin"/>
      </w:r>
      <w:r>
        <w:instrText xml:space="preserve"> REF _Ref6812909 \h </w:instrText>
      </w:r>
      <w:r>
        <w:fldChar w:fldCharType="separate"/>
      </w:r>
      <w:r w:rsidR="00E503E0">
        <w:t xml:space="preserve">Table </w:t>
      </w:r>
      <w:r w:rsidR="00E503E0">
        <w:rPr>
          <w:noProof/>
        </w:rPr>
        <w:t>2</w:t>
      </w:r>
      <w:r>
        <w:fldChar w:fldCharType="end"/>
      </w:r>
      <w:r>
        <w:t xml:space="preserve">, and must include the curb-miles or acres-equivalent swept, as well as the type of land use where sweeping occurred (roads, tree canopy over impervious, or roads and tree canopy over impervious). The efficiency is applied to the selected land use.  The Expert Panel recommended that MS4 communities report annual street sweeping in annual MS4 reports that are submitted to the state agency. The state agencies are responsible for providing the information on an annual basis to the Chesapeake Bay Program, where it is </w:t>
      </w:r>
      <w:proofErr w:type="gramStart"/>
      <w:r>
        <w:t>entered into</w:t>
      </w:r>
      <w:proofErr w:type="gramEnd"/>
      <w:r>
        <w:t xml:space="preserve"> the Chesapeake Bay watershed model. For verification purposes, localities are required to maintain records that include length of routes swept, frequency, sweeper technology, and parking conditions and controls. In addition, localities are required to</w:t>
      </w:r>
      <w:r w:rsidR="00D243A4">
        <w:t xml:space="preserve"> collect a single sample from a single route by a single sweepe</w:t>
      </w:r>
      <w:r w:rsidR="00D243A4">
        <w:t xml:space="preserve">r once a year to characterize the mass and quality of sweeper material collected. The </w:t>
      </w:r>
      <w:r w:rsidR="00D243A4">
        <w:t>MS4</w:t>
      </w:r>
      <w:r w:rsidR="00D243A4">
        <w:t xml:space="preserve"> should </w:t>
      </w:r>
      <w:r w:rsidR="00D243A4">
        <w:t xml:space="preserve">measure or </w:t>
      </w:r>
      <w:r w:rsidR="00D243A4">
        <w:t>estimate the volume of sweeper waste collecte</w:t>
      </w:r>
      <w:r w:rsidR="00D243A4">
        <w:t>d, total wet mass, number of curb miles swept on the route and sweeper conditions (date, weather, days since antecedent rainfall, street type, and parking conditions)</w:t>
      </w:r>
      <w:r w:rsidR="00D243A4">
        <w:t>. A sub-sample should also be sent to a laboratory to measure dry weigh</w:t>
      </w:r>
      <w:r w:rsidR="008570B7">
        <w:t>t</w:t>
      </w:r>
      <w:r w:rsidR="00D243A4">
        <w:t xml:space="preserve"> of sweeper material, </w:t>
      </w:r>
      <w:r w:rsidR="00D243A4">
        <w:t xml:space="preserve">particle size distribution, and average carbon, nitrogen and phosphorus content. </w:t>
      </w:r>
      <w:r>
        <w:t xml:space="preserve"> </w:t>
      </w:r>
    </w:p>
    <w:p w14:paraId="2C3232AD" w14:textId="77777777" w:rsidR="00184896" w:rsidRDefault="00184896" w:rsidP="00184896">
      <w:r>
        <w:t xml:space="preserve">Although the reporting mechanism allows the user to indicate that tree canopy over impervious was swept, </w:t>
      </w:r>
      <w:proofErr w:type="spellStart"/>
      <w:r>
        <w:t>WinSLAMM</w:t>
      </w:r>
      <w:proofErr w:type="spellEnd"/>
      <w:r>
        <w:t xml:space="preserve"> did not explicitly account for leaf drop impacts on sediment. </w:t>
      </w:r>
    </w:p>
    <w:p w14:paraId="50BF1D7E" w14:textId="426C5241" w:rsidR="00184896" w:rsidRDefault="00184896" w:rsidP="00184896">
      <w:r w:rsidRPr="00424365">
        <w:rPr>
          <w:b/>
        </w:rPr>
        <w:lastRenderedPageBreak/>
        <w:t>Additional Information:</w:t>
      </w:r>
      <w:r>
        <w:t xml:space="preserve"> The Expert Panel also developed a storm drain cleaning credit based on the mass of solids collected.  The sediment credit is based on the dry weight of the mass of solids removed and the nutrient reduction is the mass of solids times a nutrient enrichment factor.</w:t>
      </w:r>
      <w:r w:rsidR="00D243A4">
        <w:t xml:space="preserve"> </w:t>
      </w:r>
      <w:r w:rsidR="00D243A4">
        <w:t xml:space="preserve">Enrichment factors for BMP and catch basin sediments </w:t>
      </w:r>
      <w:r w:rsidR="00D243A4">
        <w:t>and</w:t>
      </w:r>
      <w:r w:rsidR="00D243A4">
        <w:t xml:space="preserve"> organi</w:t>
      </w:r>
      <w:r w:rsidR="00D243A4">
        <w:t>c matter/leaf litter</w:t>
      </w:r>
      <w:r w:rsidR="00D243A4">
        <w:t xml:space="preserve"> are </w:t>
      </w:r>
      <w:r w:rsidR="00D243A4">
        <w:t xml:space="preserve">based on </w:t>
      </w:r>
      <w:r w:rsidR="00D243A4">
        <w:t xml:space="preserve">midpoint data from </w:t>
      </w:r>
      <w:r w:rsidR="00D243A4">
        <w:t xml:space="preserve">several </w:t>
      </w:r>
      <w:r w:rsidR="008570B7">
        <w:t xml:space="preserve">referenced </w:t>
      </w:r>
      <w:r w:rsidR="00D243A4">
        <w:t>studies</w:t>
      </w:r>
      <w:r w:rsidR="00D243A4">
        <w:t xml:space="preserve">. </w:t>
      </w:r>
    </w:p>
    <w:p w14:paraId="5B550F67" w14:textId="62A67F1A" w:rsidR="00D243A4" w:rsidRDefault="00D243A4">
      <w:pPr>
        <w:spacing w:after="0" w:line="240" w:lineRule="auto"/>
      </w:pPr>
      <w:r>
        <w:br w:type="page"/>
      </w:r>
    </w:p>
    <w:p w14:paraId="2F820B76" w14:textId="53EF941F" w:rsidR="009D1607" w:rsidRPr="00D004E2" w:rsidRDefault="009D1607" w:rsidP="009D1607">
      <w:pPr>
        <w:pStyle w:val="Caption"/>
        <w:keepNext/>
        <w:rPr>
          <w:rFonts w:eastAsia="Times New Roman" w:cs="Georgia"/>
          <w:color w:val="000000"/>
        </w:rPr>
      </w:pPr>
      <w:bookmarkStart w:id="3" w:name="_Ref6812909"/>
      <w:bookmarkStart w:id="4" w:name="_Ref6813077"/>
      <w:r>
        <w:lastRenderedPageBreak/>
        <w:t xml:space="preserve">Table </w:t>
      </w:r>
      <w:r>
        <w:rPr>
          <w:noProof/>
        </w:rPr>
        <w:fldChar w:fldCharType="begin"/>
      </w:r>
      <w:r>
        <w:rPr>
          <w:noProof/>
        </w:rPr>
        <w:instrText xml:space="preserve"> SEQ Table \* ARABIC </w:instrText>
      </w:r>
      <w:r>
        <w:rPr>
          <w:noProof/>
        </w:rPr>
        <w:fldChar w:fldCharType="separate"/>
      </w:r>
      <w:r w:rsidR="00E503E0">
        <w:rPr>
          <w:noProof/>
        </w:rPr>
        <w:t>2</w:t>
      </w:r>
      <w:r>
        <w:rPr>
          <w:noProof/>
        </w:rPr>
        <w:fldChar w:fldCharType="end"/>
      </w:r>
      <w:bookmarkEnd w:id="3"/>
      <w:r w:rsidR="00FC4CA4">
        <w:rPr>
          <w:noProof/>
        </w:rPr>
        <w:t>.</w:t>
      </w:r>
      <w:r>
        <w:t xml:space="preserve"> Current CBP Street Sweeping Crediting</w:t>
      </w:r>
      <w:bookmarkEnd w:id="4"/>
    </w:p>
    <w:tbl>
      <w:tblPr>
        <w:tblStyle w:val="GridTable3-Accent1"/>
        <w:tblW w:w="8790" w:type="dxa"/>
        <w:tblLayout w:type="fixed"/>
        <w:tblLook w:val="0400" w:firstRow="0" w:lastRow="0" w:firstColumn="0" w:lastColumn="0" w:noHBand="0" w:noVBand="1"/>
      </w:tblPr>
      <w:tblGrid>
        <w:gridCol w:w="1099"/>
        <w:gridCol w:w="1805"/>
        <w:gridCol w:w="1321"/>
        <w:gridCol w:w="1709"/>
        <w:gridCol w:w="1413"/>
        <w:gridCol w:w="1443"/>
      </w:tblGrid>
      <w:tr w:rsidR="009D1607" w:rsidRPr="00FC4CA4" w14:paraId="7FB1F30E" w14:textId="77777777" w:rsidTr="009D1607">
        <w:trPr>
          <w:cnfStyle w:val="000000100000" w:firstRow="0" w:lastRow="0" w:firstColumn="0" w:lastColumn="0" w:oddVBand="0" w:evenVBand="0" w:oddHBand="1" w:evenHBand="0" w:firstRowFirstColumn="0" w:firstRowLastColumn="0" w:lastRowFirstColumn="0" w:lastRowLastColumn="0"/>
          <w:trHeight w:hRule="exact" w:val="288"/>
        </w:trPr>
        <w:tc>
          <w:tcPr>
            <w:tcW w:w="8790" w:type="dxa"/>
            <w:gridSpan w:val="6"/>
            <w:shd w:val="clear" w:color="auto" w:fill="4F81BD" w:themeFill="accent1"/>
          </w:tcPr>
          <w:p w14:paraId="2AFE7A98" w14:textId="77777777" w:rsidR="009D1607" w:rsidRPr="00FC4CA4" w:rsidRDefault="009D1607" w:rsidP="008570B7">
            <w:pPr>
              <w:spacing w:after="4" w:line="275" w:lineRule="exact"/>
              <w:ind w:left="105"/>
              <w:textAlignment w:val="baseline"/>
              <w:rPr>
                <w:rFonts w:eastAsia="Georgia" w:cs="Arial"/>
                <w:b/>
                <w:color w:val="FFFFFF" w:themeColor="background1"/>
                <w:sz w:val="18"/>
                <w:szCs w:val="18"/>
              </w:rPr>
            </w:pPr>
            <w:r w:rsidRPr="00FC4CA4">
              <w:rPr>
                <w:rFonts w:eastAsia="Georgia" w:cs="Arial"/>
                <w:b/>
                <w:color w:val="FFFFFF" w:themeColor="background1"/>
                <w:sz w:val="18"/>
                <w:szCs w:val="18"/>
              </w:rPr>
              <w:t>Pollutant Reductions Associated with Different Street Cleaning Practices (SCP)</w:t>
            </w:r>
          </w:p>
        </w:tc>
      </w:tr>
      <w:tr w:rsidR="009D1607" w:rsidRPr="00FC4CA4" w14:paraId="0AA2B6E8" w14:textId="77777777" w:rsidTr="009D1607">
        <w:trPr>
          <w:trHeight w:hRule="exact" w:val="795"/>
        </w:trPr>
        <w:tc>
          <w:tcPr>
            <w:tcW w:w="1099" w:type="dxa"/>
            <w:shd w:val="clear" w:color="auto" w:fill="4F81BD" w:themeFill="accent1"/>
            <w:vAlign w:val="bottom"/>
          </w:tcPr>
          <w:p w14:paraId="68C6581E" w14:textId="77777777" w:rsidR="009D1607" w:rsidRPr="00FC4CA4" w:rsidRDefault="009D1607" w:rsidP="009D1607">
            <w:pPr>
              <w:spacing w:after="0" w:line="240" w:lineRule="auto"/>
              <w:ind w:left="72"/>
              <w:jc w:val="center"/>
              <w:textAlignment w:val="baseline"/>
              <w:rPr>
                <w:rFonts w:eastAsia="Georgia" w:cs="Arial"/>
                <w:b/>
                <w:color w:val="FFFFFF" w:themeColor="background1"/>
                <w:sz w:val="18"/>
                <w:szCs w:val="18"/>
              </w:rPr>
            </w:pPr>
            <w:r w:rsidRPr="00FC4CA4">
              <w:rPr>
                <w:rFonts w:eastAsia="Georgia" w:cs="Arial"/>
                <w:b/>
                <w:color w:val="FFFFFF" w:themeColor="background1"/>
                <w:sz w:val="18"/>
                <w:szCs w:val="18"/>
              </w:rPr>
              <w:t>Practice</w:t>
            </w:r>
          </w:p>
          <w:p w14:paraId="1C2F76CE" w14:textId="77777777" w:rsidR="009D1607" w:rsidRPr="00FC4CA4" w:rsidRDefault="009D1607" w:rsidP="009D1607">
            <w:pPr>
              <w:spacing w:after="0" w:line="240" w:lineRule="auto"/>
              <w:jc w:val="center"/>
              <w:textAlignment w:val="baseline"/>
              <w:rPr>
                <w:rFonts w:eastAsia="Georgia" w:cs="Arial"/>
                <w:b/>
                <w:color w:val="FFFFFF" w:themeColor="background1"/>
                <w:sz w:val="18"/>
                <w:szCs w:val="18"/>
              </w:rPr>
            </w:pPr>
            <w:r w:rsidRPr="00FC4CA4">
              <w:rPr>
                <w:rFonts w:eastAsia="Georgia" w:cs="Arial"/>
                <w:b/>
                <w:color w:val="FFFFFF" w:themeColor="background1"/>
                <w:sz w:val="18"/>
                <w:szCs w:val="18"/>
              </w:rPr>
              <w:t>#</w:t>
            </w:r>
          </w:p>
        </w:tc>
        <w:tc>
          <w:tcPr>
            <w:tcW w:w="1805" w:type="dxa"/>
            <w:shd w:val="clear" w:color="auto" w:fill="4F81BD" w:themeFill="accent1"/>
            <w:vAlign w:val="bottom"/>
          </w:tcPr>
          <w:p w14:paraId="63ED72A2" w14:textId="77777777" w:rsidR="009D1607" w:rsidRPr="00FC4CA4" w:rsidRDefault="009D1607" w:rsidP="009D1607">
            <w:pPr>
              <w:spacing w:after="0" w:line="240" w:lineRule="auto"/>
              <w:ind w:right="226"/>
              <w:jc w:val="center"/>
              <w:textAlignment w:val="baseline"/>
              <w:rPr>
                <w:rFonts w:eastAsia="Georgia" w:cs="Arial"/>
                <w:b/>
                <w:color w:val="FFFFFF" w:themeColor="background1"/>
                <w:sz w:val="18"/>
                <w:szCs w:val="18"/>
              </w:rPr>
            </w:pPr>
            <w:r w:rsidRPr="00FC4CA4">
              <w:rPr>
                <w:rFonts w:eastAsia="Georgia" w:cs="Arial"/>
                <w:b/>
                <w:color w:val="FFFFFF" w:themeColor="background1"/>
                <w:sz w:val="18"/>
                <w:szCs w:val="18"/>
              </w:rPr>
              <w:t>Description</w:t>
            </w:r>
          </w:p>
        </w:tc>
        <w:tc>
          <w:tcPr>
            <w:tcW w:w="1321" w:type="dxa"/>
            <w:shd w:val="clear" w:color="auto" w:fill="4F81BD" w:themeFill="accent1"/>
            <w:vAlign w:val="bottom"/>
          </w:tcPr>
          <w:p w14:paraId="27539ABA" w14:textId="77777777" w:rsidR="009D1607" w:rsidRPr="00FC4CA4" w:rsidRDefault="009D1607" w:rsidP="009D1607">
            <w:pPr>
              <w:spacing w:after="0" w:line="240" w:lineRule="auto"/>
              <w:jc w:val="center"/>
              <w:textAlignment w:val="baseline"/>
              <w:rPr>
                <w:rFonts w:eastAsia="Georgia" w:cs="Arial"/>
                <w:b/>
                <w:color w:val="FFFFFF" w:themeColor="background1"/>
                <w:sz w:val="18"/>
                <w:szCs w:val="18"/>
              </w:rPr>
            </w:pPr>
            <w:proofErr w:type="spellStart"/>
            <w:r w:rsidRPr="00FC4CA4">
              <w:rPr>
                <w:rFonts w:eastAsia="Georgia" w:cs="Arial"/>
                <w:b/>
                <w:color w:val="FFFFFF" w:themeColor="background1"/>
                <w:sz w:val="18"/>
                <w:szCs w:val="18"/>
              </w:rPr>
              <w:t>Approx</w:t>
            </w:r>
            <w:proofErr w:type="spellEnd"/>
            <w:r w:rsidRPr="00FC4CA4">
              <w:rPr>
                <w:rFonts w:eastAsia="Georgia" w:cs="Arial"/>
                <w:b/>
                <w:color w:val="FFFFFF" w:themeColor="background1"/>
                <w:sz w:val="18"/>
                <w:szCs w:val="18"/>
              </w:rPr>
              <w:t xml:space="preserve"> </w:t>
            </w:r>
            <w:r w:rsidRPr="00FC4CA4">
              <w:rPr>
                <w:rFonts w:eastAsia="Georgia" w:cs="Arial"/>
                <w:b/>
                <w:color w:val="FFFFFF" w:themeColor="background1"/>
                <w:sz w:val="18"/>
                <w:szCs w:val="18"/>
              </w:rPr>
              <w:br/>
              <w:t>Passes/</w:t>
            </w:r>
            <w:proofErr w:type="spellStart"/>
            <w:r w:rsidRPr="00FC4CA4">
              <w:rPr>
                <w:rFonts w:eastAsia="Georgia" w:cs="Arial"/>
                <w:b/>
                <w:color w:val="FFFFFF" w:themeColor="background1"/>
                <w:sz w:val="18"/>
                <w:szCs w:val="18"/>
              </w:rPr>
              <w:t>Yr</w:t>
            </w:r>
            <w:proofErr w:type="spellEnd"/>
            <w:r w:rsidRPr="00FC4CA4">
              <w:rPr>
                <w:rFonts w:eastAsia="Georgia" w:cs="Arial"/>
                <w:b/>
                <w:color w:val="FFFFFF" w:themeColor="background1"/>
                <w:sz w:val="18"/>
                <w:szCs w:val="18"/>
              </w:rPr>
              <w:t>*</w:t>
            </w:r>
          </w:p>
        </w:tc>
        <w:tc>
          <w:tcPr>
            <w:tcW w:w="1709" w:type="dxa"/>
            <w:shd w:val="clear" w:color="auto" w:fill="4F81BD" w:themeFill="accent1"/>
            <w:vAlign w:val="bottom"/>
          </w:tcPr>
          <w:p w14:paraId="4D639E4C" w14:textId="77777777" w:rsidR="009D1607" w:rsidRPr="00FC4CA4" w:rsidRDefault="009D1607" w:rsidP="009D1607">
            <w:pPr>
              <w:spacing w:after="0" w:line="240" w:lineRule="auto"/>
              <w:jc w:val="center"/>
              <w:textAlignment w:val="baseline"/>
              <w:rPr>
                <w:rFonts w:eastAsia="Georgia" w:cs="Arial"/>
                <w:b/>
                <w:color w:val="FFFFFF" w:themeColor="background1"/>
                <w:sz w:val="18"/>
                <w:szCs w:val="18"/>
              </w:rPr>
            </w:pPr>
            <w:r w:rsidRPr="00FC4CA4">
              <w:rPr>
                <w:rFonts w:eastAsia="Georgia" w:cs="Arial"/>
                <w:b/>
                <w:color w:val="FFFFFF" w:themeColor="background1"/>
                <w:sz w:val="18"/>
                <w:szCs w:val="18"/>
              </w:rPr>
              <w:t>TSS Removal</w:t>
            </w:r>
          </w:p>
          <w:p w14:paraId="01BCA374" w14:textId="4B66FC9A" w:rsidR="009D1607" w:rsidRPr="00FC4CA4" w:rsidRDefault="009D1607" w:rsidP="009D1607">
            <w:pPr>
              <w:spacing w:after="0" w:line="240" w:lineRule="auto"/>
              <w:jc w:val="center"/>
              <w:textAlignment w:val="baseline"/>
              <w:rPr>
                <w:rFonts w:eastAsia="Georgia" w:cs="Arial"/>
                <w:b/>
                <w:color w:val="FFFFFF" w:themeColor="background1"/>
                <w:sz w:val="18"/>
                <w:szCs w:val="18"/>
              </w:rPr>
            </w:pPr>
            <w:r w:rsidRPr="00FC4CA4">
              <w:rPr>
                <w:rFonts w:eastAsia="Georgia" w:cs="Arial"/>
                <w:b/>
                <w:color w:val="FFFFFF" w:themeColor="background1"/>
                <w:sz w:val="18"/>
                <w:szCs w:val="18"/>
              </w:rPr>
              <w:t>(%)</w:t>
            </w:r>
            <w:r w:rsidR="00D243A4">
              <w:rPr>
                <w:rFonts w:eastAsia="Georgia" w:cs="Arial"/>
                <w:b/>
                <w:color w:val="FFFFFF" w:themeColor="background1"/>
                <w:sz w:val="18"/>
                <w:szCs w:val="18"/>
              </w:rPr>
              <w:t>**</w:t>
            </w:r>
          </w:p>
        </w:tc>
        <w:tc>
          <w:tcPr>
            <w:tcW w:w="1413" w:type="dxa"/>
            <w:shd w:val="clear" w:color="auto" w:fill="4F81BD" w:themeFill="accent1"/>
            <w:vAlign w:val="bottom"/>
          </w:tcPr>
          <w:p w14:paraId="3CD74473" w14:textId="77777777" w:rsidR="009D1607" w:rsidRPr="00FC4CA4" w:rsidRDefault="009D1607" w:rsidP="009D1607">
            <w:pPr>
              <w:spacing w:after="0" w:line="240" w:lineRule="auto"/>
              <w:jc w:val="center"/>
              <w:textAlignment w:val="baseline"/>
              <w:rPr>
                <w:rFonts w:eastAsia="Georgia" w:cs="Arial"/>
                <w:b/>
                <w:color w:val="FFFFFF" w:themeColor="background1"/>
                <w:sz w:val="18"/>
                <w:szCs w:val="18"/>
              </w:rPr>
            </w:pPr>
            <w:r w:rsidRPr="00FC4CA4">
              <w:rPr>
                <w:rFonts w:eastAsia="Georgia" w:cs="Arial"/>
                <w:b/>
                <w:color w:val="FFFFFF" w:themeColor="background1"/>
                <w:sz w:val="18"/>
                <w:szCs w:val="18"/>
              </w:rPr>
              <w:t>TN Removal</w:t>
            </w:r>
          </w:p>
          <w:p w14:paraId="2969C92C" w14:textId="0AAA3894" w:rsidR="009D1607" w:rsidRPr="00FC4CA4" w:rsidRDefault="009D1607" w:rsidP="009D1607">
            <w:pPr>
              <w:spacing w:after="0" w:line="240" w:lineRule="auto"/>
              <w:jc w:val="center"/>
              <w:textAlignment w:val="baseline"/>
              <w:rPr>
                <w:rFonts w:eastAsia="Georgia" w:cs="Arial"/>
                <w:b/>
                <w:color w:val="FFFFFF" w:themeColor="background1"/>
                <w:sz w:val="18"/>
                <w:szCs w:val="18"/>
              </w:rPr>
            </w:pPr>
            <w:r w:rsidRPr="00FC4CA4">
              <w:rPr>
                <w:rFonts w:eastAsia="Georgia" w:cs="Arial"/>
                <w:b/>
                <w:color w:val="FFFFFF" w:themeColor="background1"/>
                <w:sz w:val="18"/>
                <w:szCs w:val="18"/>
              </w:rPr>
              <w:t>(%)</w:t>
            </w:r>
            <w:r w:rsidR="00D243A4">
              <w:rPr>
                <w:rFonts w:eastAsia="Georgia" w:cs="Arial"/>
                <w:b/>
                <w:color w:val="FFFFFF" w:themeColor="background1"/>
                <w:sz w:val="18"/>
                <w:szCs w:val="18"/>
              </w:rPr>
              <w:t>**</w:t>
            </w:r>
          </w:p>
        </w:tc>
        <w:tc>
          <w:tcPr>
            <w:tcW w:w="1440" w:type="dxa"/>
            <w:shd w:val="clear" w:color="auto" w:fill="4F81BD" w:themeFill="accent1"/>
            <w:vAlign w:val="bottom"/>
          </w:tcPr>
          <w:p w14:paraId="5A575BD9" w14:textId="77777777" w:rsidR="009D1607" w:rsidRPr="00FC4CA4" w:rsidRDefault="009D1607" w:rsidP="009D1607">
            <w:pPr>
              <w:spacing w:after="0" w:line="240" w:lineRule="auto"/>
              <w:jc w:val="center"/>
              <w:textAlignment w:val="baseline"/>
              <w:rPr>
                <w:rFonts w:eastAsia="Georgia" w:cs="Arial"/>
                <w:b/>
                <w:color w:val="FFFFFF" w:themeColor="background1"/>
                <w:sz w:val="18"/>
                <w:szCs w:val="18"/>
              </w:rPr>
            </w:pPr>
            <w:r w:rsidRPr="00FC4CA4">
              <w:rPr>
                <w:rFonts w:eastAsia="Georgia" w:cs="Arial"/>
                <w:b/>
                <w:color w:val="FFFFFF" w:themeColor="background1"/>
                <w:sz w:val="18"/>
                <w:szCs w:val="18"/>
              </w:rPr>
              <w:t>TP Removal</w:t>
            </w:r>
          </w:p>
          <w:p w14:paraId="646B7CE1" w14:textId="4B7DFD03" w:rsidR="009D1607" w:rsidRPr="00FC4CA4" w:rsidRDefault="009D1607" w:rsidP="009D1607">
            <w:pPr>
              <w:spacing w:after="0" w:line="240" w:lineRule="auto"/>
              <w:jc w:val="center"/>
              <w:textAlignment w:val="baseline"/>
              <w:rPr>
                <w:rFonts w:eastAsia="Georgia" w:cs="Arial"/>
                <w:b/>
                <w:color w:val="FFFFFF" w:themeColor="background1"/>
                <w:sz w:val="18"/>
                <w:szCs w:val="18"/>
              </w:rPr>
            </w:pPr>
            <w:r w:rsidRPr="00FC4CA4">
              <w:rPr>
                <w:rFonts w:eastAsia="Georgia" w:cs="Arial"/>
                <w:b/>
                <w:color w:val="FFFFFF" w:themeColor="background1"/>
                <w:sz w:val="18"/>
                <w:szCs w:val="18"/>
              </w:rPr>
              <w:t>(%)</w:t>
            </w:r>
            <w:r w:rsidR="00D243A4">
              <w:rPr>
                <w:rFonts w:eastAsia="Georgia" w:cs="Arial"/>
                <w:b/>
                <w:color w:val="FFFFFF" w:themeColor="background1"/>
                <w:sz w:val="18"/>
                <w:szCs w:val="18"/>
              </w:rPr>
              <w:t>**</w:t>
            </w:r>
          </w:p>
        </w:tc>
      </w:tr>
      <w:tr w:rsidR="009D1607" w:rsidRPr="00FC4CA4" w14:paraId="009A168F" w14:textId="77777777" w:rsidTr="009D1607">
        <w:trPr>
          <w:cnfStyle w:val="000000100000" w:firstRow="0" w:lastRow="0" w:firstColumn="0" w:lastColumn="0" w:oddVBand="0" w:evenVBand="0" w:oddHBand="1" w:evenHBand="0" w:firstRowFirstColumn="0" w:firstRowLastColumn="0" w:lastRowFirstColumn="0" w:lastRowLastColumn="0"/>
          <w:trHeight w:hRule="exact" w:val="283"/>
        </w:trPr>
        <w:tc>
          <w:tcPr>
            <w:tcW w:w="1099" w:type="dxa"/>
          </w:tcPr>
          <w:p w14:paraId="1F4F9CBA" w14:textId="77777777" w:rsidR="009D1607" w:rsidRPr="00FC4CA4" w:rsidRDefault="009D1607" w:rsidP="008570B7">
            <w:pPr>
              <w:spacing w:after="5" w:line="272" w:lineRule="exact"/>
              <w:jc w:val="center"/>
              <w:textAlignment w:val="baseline"/>
              <w:rPr>
                <w:rFonts w:eastAsia="Georgia" w:cs="Arial"/>
                <w:color w:val="000000"/>
                <w:sz w:val="18"/>
                <w:szCs w:val="18"/>
              </w:rPr>
            </w:pPr>
            <w:r w:rsidRPr="00FC4CA4">
              <w:rPr>
                <w:rFonts w:eastAsia="Georgia" w:cs="Arial"/>
                <w:color w:val="000000"/>
                <w:sz w:val="18"/>
                <w:szCs w:val="18"/>
              </w:rPr>
              <w:t>SCP-1</w:t>
            </w:r>
          </w:p>
        </w:tc>
        <w:tc>
          <w:tcPr>
            <w:tcW w:w="1805" w:type="dxa"/>
          </w:tcPr>
          <w:p w14:paraId="4C3C591F" w14:textId="77777777" w:rsidR="009D1607" w:rsidRPr="00FC4CA4" w:rsidRDefault="009D1607" w:rsidP="008570B7">
            <w:pPr>
              <w:spacing w:after="5" w:line="272" w:lineRule="exact"/>
              <w:ind w:left="101"/>
              <w:textAlignment w:val="baseline"/>
              <w:rPr>
                <w:rFonts w:eastAsia="Georgia" w:cs="Arial"/>
                <w:color w:val="000000"/>
                <w:sz w:val="18"/>
                <w:szCs w:val="18"/>
              </w:rPr>
            </w:pPr>
            <w:r w:rsidRPr="00FC4CA4">
              <w:rPr>
                <w:rFonts w:eastAsia="Georgia" w:cs="Arial"/>
                <w:color w:val="000000"/>
                <w:sz w:val="18"/>
                <w:szCs w:val="18"/>
              </w:rPr>
              <w:t>AST- 2 PW</w:t>
            </w:r>
          </w:p>
        </w:tc>
        <w:tc>
          <w:tcPr>
            <w:tcW w:w="1321" w:type="dxa"/>
          </w:tcPr>
          <w:p w14:paraId="4233D407" w14:textId="77777777" w:rsidR="009D1607" w:rsidRPr="00FC4CA4" w:rsidRDefault="009D1607" w:rsidP="008570B7">
            <w:pPr>
              <w:spacing w:line="269" w:lineRule="exact"/>
              <w:jc w:val="center"/>
              <w:textAlignment w:val="baseline"/>
              <w:rPr>
                <w:rFonts w:eastAsia="Times New Roman" w:cs="Arial"/>
                <w:color w:val="000000"/>
                <w:sz w:val="18"/>
                <w:szCs w:val="18"/>
              </w:rPr>
            </w:pPr>
            <w:r w:rsidRPr="00FC4CA4">
              <w:rPr>
                <w:rFonts w:eastAsia="Georgia" w:cs="Arial"/>
                <w:color w:val="000000"/>
                <w:sz w:val="18"/>
                <w:szCs w:val="18"/>
              </w:rPr>
              <w:t>100</w:t>
            </w:r>
          </w:p>
        </w:tc>
        <w:tc>
          <w:tcPr>
            <w:tcW w:w="1709" w:type="dxa"/>
          </w:tcPr>
          <w:p w14:paraId="5959DB3F" w14:textId="77777777" w:rsidR="009D1607" w:rsidRPr="00FC4CA4" w:rsidRDefault="009D1607" w:rsidP="008570B7">
            <w:pPr>
              <w:spacing w:after="5" w:line="272" w:lineRule="exact"/>
              <w:jc w:val="center"/>
              <w:textAlignment w:val="baseline"/>
              <w:rPr>
                <w:rFonts w:eastAsia="Georgia" w:cs="Arial"/>
                <w:color w:val="000000"/>
                <w:sz w:val="18"/>
                <w:szCs w:val="18"/>
              </w:rPr>
            </w:pPr>
            <w:r w:rsidRPr="00FC4CA4">
              <w:rPr>
                <w:rFonts w:eastAsia="Georgia" w:cs="Arial"/>
                <w:color w:val="000000"/>
                <w:sz w:val="18"/>
                <w:szCs w:val="18"/>
              </w:rPr>
              <w:t>21</w:t>
            </w:r>
          </w:p>
        </w:tc>
        <w:tc>
          <w:tcPr>
            <w:tcW w:w="1413" w:type="dxa"/>
          </w:tcPr>
          <w:p w14:paraId="673CDD65" w14:textId="77777777" w:rsidR="009D1607" w:rsidRPr="00FC4CA4" w:rsidRDefault="009D1607" w:rsidP="008570B7">
            <w:pPr>
              <w:spacing w:after="5" w:line="272" w:lineRule="exact"/>
              <w:jc w:val="center"/>
              <w:textAlignment w:val="baseline"/>
              <w:rPr>
                <w:rFonts w:eastAsia="Georgia" w:cs="Arial"/>
                <w:color w:val="000000"/>
                <w:sz w:val="18"/>
                <w:szCs w:val="18"/>
              </w:rPr>
            </w:pPr>
            <w:r w:rsidRPr="00FC4CA4">
              <w:rPr>
                <w:rFonts w:eastAsia="Georgia" w:cs="Arial"/>
                <w:color w:val="000000"/>
                <w:sz w:val="18"/>
                <w:szCs w:val="18"/>
              </w:rPr>
              <w:t>4</w:t>
            </w:r>
          </w:p>
        </w:tc>
        <w:tc>
          <w:tcPr>
            <w:tcW w:w="1440" w:type="dxa"/>
          </w:tcPr>
          <w:p w14:paraId="25065FE8" w14:textId="77777777" w:rsidR="009D1607" w:rsidRPr="00FC4CA4" w:rsidRDefault="009D1607" w:rsidP="008570B7">
            <w:pPr>
              <w:spacing w:after="5" w:line="272" w:lineRule="exact"/>
              <w:ind w:right="135"/>
              <w:jc w:val="center"/>
              <w:textAlignment w:val="baseline"/>
              <w:rPr>
                <w:rFonts w:eastAsia="Georgia" w:cs="Arial"/>
                <w:color w:val="000000"/>
                <w:sz w:val="18"/>
                <w:szCs w:val="18"/>
              </w:rPr>
            </w:pPr>
            <w:r w:rsidRPr="00FC4CA4">
              <w:rPr>
                <w:rFonts w:eastAsia="Georgia" w:cs="Arial"/>
                <w:color w:val="000000"/>
                <w:sz w:val="18"/>
                <w:szCs w:val="18"/>
              </w:rPr>
              <w:t>10</w:t>
            </w:r>
          </w:p>
        </w:tc>
      </w:tr>
      <w:tr w:rsidR="009D1607" w:rsidRPr="00FC4CA4" w14:paraId="1F1C5AE6" w14:textId="77777777" w:rsidTr="009D1607">
        <w:trPr>
          <w:trHeight w:hRule="exact" w:val="283"/>
        </w:trPr>
        <w:tc>
          <w:tcPr>
            <w:tcW w:w="1099" w:type="dxa"/>
          </w:tcPr>
          <w:p w14:paraId="3260262B" w14:textId="77777777" w:rsidR="009D1607" w:rsidRPr="00FC4CA4" w:rsidRDefault="009D1607" w:rsidP="008570B7">
            <w:pPr>
              <w:spacing w:after="10" w:line="272" w:lineRule="exact"/>
              <w:jc w:val="center"/>
              <w:textAlignment w:val="baseline"/>
              <w:rPr>
                <w:rFonts w:eastAsia="Georgia" w:cs="Arial"/>
                <w:color w:val="000000"/>
                <w:sz w:val="18"/>
                <w:szCs w:val="18"/>
              </w:rPr>
            </w:pPr>
            <w:r w:rsidRPr="00FC4CA4">
              <w:rPr>
                <w:rFonts w:eastAsia="Georgia" w:cs="Arial"/>
                <w:color w:val="000000"/>
                <w:sz w:val="18"/>
                <w:szCs w:val="18"/>
              </w:rPr>
              <w:t>SCP-2</w:t>
            </w:r>
          </w:p>
        </w:tc>
        <w:tc>
          <w:tcPr>
            <w:tcW w:w="1805" w:type="dxa"/>
          </w:tcPr>
          <w:p w14:paraId="2DA51EA2" w14:textId="77777777" w:rsidR="009D1607" w:rsidRPr="00FC4CA4" w:rsidRDefault="009D1607" w:rsidP="008570B7">
            <w:pPr>
              <w:spacing w:after="10" w:line="272" w:lineRule="exact"/>
              <w:ind w:left="101"/>
              <w:textAlignment w:val="baseline"/>
              <w:rPr>
                <w:rFonts w:eastAsia="Georgia" w:cs="Arial"/>
                <w:color w:val="000000"/>
                <w:sz w:val="18"/>
                <w:szCs w:val="18"/>
              </w:rPr>
            </w:pPr>
            <w:r w:rsidRPr="00FC4CA4">
              <w:rPr>
                <w:rFonts w:eastAsia="Georgia" w:cs="Arial"/>
                <w:color w:val="000000"/>
                <w:sz w:val="18"/>
                <w:szCs w:val="18"/>
              </w:rPr>
              <w:t>AST- 1 PW</w:t>
            </w:r>
          </w:p>
        </w:tc>
        <w:tc>
          <w:tcPr>
            <w:tcW w:w="1321" w:type="dxa"/>
          </w:tcPr>
          <w:p w14:paraId="3294F81E" w14:textId="77777777" w:rsidR="009D1607" w:rsidRPr="00FC4CA4" w:rsidRDefault="009D1607" w:rsidP="008570B7">
            <w:pPr>
              <w:spacing w:line="274" w:lineRule="exact"/>
              <w:jc w:val="center"/>
              <w:textAlignment w:val="baseline"/>
              <w:rPr>
                <w:rFonts w:eastAsia="Times New Roman" w:cs="Arial"/>
                <w:color w:val="000000"/>
                <w:sz w:val="18"/>
                <w:szCs w:val="18"/>
              </w:rPr>
            </w:pPr>
            <w:r w:rsidRPr="00FC4CA4">
              <w:rPr>
                <w:rFonts w:eastAsia="Georgia" w:cs="Arial"/>
                <w:color w:val="000000"/>
                <w:sz w:val="18"/>
                <w:szCs w:val="18"/>
              </w:rPr>
              <w:t>50</w:t>
            </w:r>
          </w:p>
        </w:tc>
        <w:tc>
          <w:tcPr>
            <w:tcW w:w="1709" w:type="dxa"/>
          </w:tcPr>
          <w:p w14:paraId="17FF6F21" w14:textId="77777777" w:rsidR="009D1607" w:rsidRPr="00FC4CA4" w:rsidRDefault="009D1607" w:rsidP="008570B7">
            <w:pPr>
              <w:spacing w:after="10" w:line="272" w:lineRule="exact"/>
              <w:jc w:val="center"/>
              <w:textAlignment w:val="baseline"/>
              <w:rPr>
                <w:rFonts w:eastAsia="Georgia" w:cs="Arial"/>
                <w:color w:val="000000"/>
                <w:sz w:val="18"/>
                <w:szCs w:val="18"/>
              </w:rPr>
            </w:pPr>
            <w:r w:rsidRPr="00FC4CA4">
              <w:rPr>
                <w:rFonts w:eastAsia="Georgia" w:cs="Arial"/>
                <w:color w:val="000000"/>
                <w:sz w:val="18"/>
                <w:szCs w:val="18"/>
              </w:rPr>
              <w:t>16</w:t>
            </w:r>
          </w:p>
        </w:tc>
        <w:tc>
          <w:tcPr>
            <w:tcW w:w="1413" w:type="dxa"/>
          </w:tcPr>
          <w:p w14:paraId="3D57071D" w14:textId="77777777" w:rsidR="009D1607" w:rsidRPr="00FC4CA4" w:rsidRDefault="009D1607" w:rsidP="008570B7">
            <w:pPr>
              <w:spacing w:after="10" w:line="272" w:lineRule="exact"/>
              <w:jc w:val="center"/>
              <w:textAlignment w:val="baseline"/>
              <w:rPr>
                <w:rFonts w:eastAsia="Georgia" w:cs="Arial"/>
                <w:color w:val="000000"/>
                <w:sz w:val="18"/>
                <w:szCs w:val="18"/>
              </w:rPr>
            </w:pPr>
            <w:r w:rsidRPr="00FC4CA4">
              <w:rPr>
                <w:rFonts w:eastAsia="Georgia" w:cs="Arial"/>
                <w:color w:val="000000"/>
                <w:sz w:val="18"/>
                <w:szCs w:val="18"/>
              </w:rPr>
              <w:t>3</w:t>
            </w:r>
          </w:p>
        </w:tc>
        <w:tc>
          <w:tcPr>
            <w:tcW w:w="1440" w:type="dxa"/>
          </w:tcPr>
          <w:p w14:paraId="4EB8B59E" w14:textId="77777777" w:rsidR="009D1607" w:rsidRPr="00FC4CA4" w:rsidRDefault="009D1607" w:rsidP="008570B7">
            <w:pPr>
              <w:spacing w:after="10" w:line="272" w:lineRule="exact"/>
              <w:ind w:right="76"/>
              <w:jc w:val="center"/>
              <w:textAlignment w:val="baseline"/>
              <w:rPr>
                <w:rFonts w:eastAsia="Georgia" w:cs="Arial"/>
                <w:color w:val="000000"/>
                <w:sz w:val="18"/>
                <w:szCs w:val="18"/>
              </w:rPr>
            </w:pPr>
            <w:r w:rsidRPr="00FC4CA4">
              <w:rPr>
                <w:rFonts w:eastAsia="Georgia" w:cs="Arial"/>
                <w:color w:val="000000"/>
                <w:sz w:val="18"/>
                <w:szCs w:val="18"/>
              </w:rPr>
              <w:t>8</w:t>
            </w:r>
          </w:p>
        </w:tc>
      </w:tr>
      <w:tr w:rsidR="009D1607" w:rsidRPr="00FC4CA4" w14:paraId="0A986F8B" w14:textId="77777777" w:rsidTr="009D1607">
        <w:trPr>
          <w:cnfStyle w:val="000000100000" w:firstRow="0" w:lastRow="0" w:firstColumn="0" w:lastColumn="0" w:oddVBand="0" w:evenVBand="0" w:oddHBand="1" w:evenHBand="0" w:firstRowFirstColumn="0" w:firstRowLastColumn="0" w:lastRowFirstColumn="0" w:lastRowLastColumn="0"/>
          <w:trHeight w:hRule="exact" w:val="283"/>
        </w:trPr>
        <w:tc>
          <w:tcPr>
            <w:tcW w:w="1099" w:type="dxa"/>
          </w:tcPr>
          <w:p w14:paraId="1DD7DDA2" w14:textId="77777777" w:rsidR="009D1607" w:rsidRPr="00FC4CA4" w:rsidRDefault="009D1607" w:rsidP="008570B7">
            <w:pPr>
              <w:spacing w:after="1" w:line="272" w:lineRule="exact"/>
              <w:jc w:val="center"/>
              <w:textAlignment w:val="baseline"/>
              <w:rPr>
                <w:rFonts w:eastAsia="Georgia" w:cs="Arial"/>
                <w:color w:val="000000"/>
                <w:sz w:val="18"/>
                <w:szCs w:val="18"/>
              </w:rPr>
            </w:pPr>
            <w:r w:rsidRPr="00FC4CA4">
              <w:rPr>
                <w:rFonts w:eastAsia="Georgia" w:cs="Arial"/>
                <w:color w:val="000000"/>
                <w:sz w:val="18"/>
                <w:szCs w:val="18"/>
              </w:rPr>
              <w:t>SCP-3</w:t>
            </w:r>
          </w:p>
        </w:tc>
        <w:tc>
          <w:tcPr>
            <w:tcW w:w="1805" w:type="dxa"/>
          </w:tcPr>
          <w:p w14:paraId="7D5E4C8A" w14:textId="77777777" w:rsidR="009D1607" w:rsidRPr="00FC4CA4" w:rsidRDefault="009D1607" w:rsidP="008570B7">
            <w:pPr>
              <w:spacing w:after="1" w:line="272" w:lineRule="exact"/>
              <w:ind w:left="101"/>
              <w:textAlignment w:val="baseline"/>
              <w:rPr>
                <w:rFonts w:eastAsia="Georgia" w:cs="Arial"/>
                <w:color w:val="000000"/>
                <w:sz w:val="18"/>
                <w:szCs w:val="18"/>
              </w:rPr>
            </w:pPr>
            <w:r w:rsidRPr="00FC4CA4">
              <w:rPr>
                <w:rFonts w:eastAsia="Georgia" w:cs="Arial"/>
                <w:color w:val="000000"/>
                <w:sz w:val="18"/>
                <w:szCs w:val="18"/>
              </w:rPr>
              <w:t>AST- 1 P2W</w:t>
            </w:r>
          </w:p>
        </w:tc>
        <w:tc>
          <w:tcPr>
            <w:tcW w:w="1321" w:type="dxa"/>
          </w:tcPr>
          <w:p w14:paraId="25AB4F48" w14:textId="77777777" w:rsidR="009D1607" w:rsidRPr="00FC4CA4" w:rsidRDefault="009D1607" w:rsidP="008570B7">
            <w:pPr>
              <w:spacing w:line="265" w:lineRule="exact"/>
              <w:jc w:val="center"/>
              <w:textAlignment w:val="baseline"/>
              <w:rPr>
                <w:rFonts w:eastAsia="Times New Roman" w:cs="Arial"/>
                <w:color w:val="000000"/>
                <w:sz w:val="18"/>
                <w:szCs w:val="18"/>
              </w:rPr>
            </w:pPr>
            <w:r w:rsidRPr="00FC4CA4">
              <w:rPr>
                <w:rFonts w:eastAsia="Georgia" w:cs="Arial"/>
                <w:color w:val="000000"/>
                <w:sz w:val="18"/>
                <w:szCs w:val="18"/>
              </w:rPr>
              <w:t>25</w:t>
            </w:r>
          </w:p>
        </w:tc>
        <w:tc>
          <w:tcPr>
            <w:tcW w:w="1709" w:type="dxa"/>
          </w:tcPr>
          <w:p w14:paraId="380D4E74" w14:textId="77777777" w:rsidR="009D1607" w:rsidRPr="00FC4CA4" w:rsidRDefault="009D1607" w:rsidP="008570B7">
            <w:pPr>
              <w:spacing w:after="1" w:line="272" w:lineRule="exact"/>
              <w:jc w:val="center"/>
              <w:textAlignment w:val="baseline"/>
              <w:rPr>
                <w:rFonts w:eastAsia="Georgia" w:cs="Arial"/>
                <w:color w:val="000000"/>
                <w:sz w:val="18"/>
                <w:szCs w:val="18"/>
              </w:rPr>
            </w:pPr>
            <w:r w:rsidRPr="00FC4CA4">
              <w:rPr>
                <w:rFonts w:eastAsia="Georgia" w:cs="Arial"/>
                <w:color w:val="000000"/>
                <w:sz w:val="18"/>
                <w:szCs w:val="18"/>
              </w:rPr>
              <w:t>11</w:t>
            </w:r>
          </w:p>
        </w:tc>
        <w:tc>
          <w:tcPr>
            <w:tcW w:w="1413" w:type="dxa"/>
          </w:tcPr>
          <w:p w14:paraId="7187950D" w14:textId="77777777" w:rsidR="009D1607" w:rsidRPr="00FC4CA4" w:rsidRDefault="009D1607" w:rsidP="008570B7">
            <w:pPr>
              <w:spacing w:after="1" w:line="272" w:lineRule="exact"/>
              <w:jc w:val="center"/>
              <w:textAlignment w:val="baseline"/>
              <w:rPr>
                <w:rFonts w:eastAsia="Georgia" w:cs="Arial"/>
                <w:color w:val="000000"/>
                <w:sz w:val="18"/>
                <w:szCs w:val="18"/>
              </w:rPr>
            </w:pPr>
            <w:r w:rsidRPr="00FC4CA4">
              <w:rPr>
                <w:rFonts w:eastAsia="Georgia" w:cs="Arial"/>
                <w:color w:val="000000"/>
                <w:sz w:val="18"/>
                <w:szCs w:val="18"/>
              </w:rPr>
              <w:t>2</w:t>
            </w:r>
          </w:p>
        </w:tc>
        <w:tc>
          <w:tcPr>
            <w:tcW w:w="1440" w:type="dxa"/>
          </w:tcPr>
          <w:p w14:paraId="796DF68D" w14:textId="77777777" w:rsidR="009D1607" w:rsidRPr="00FC4CA4" w:rsidRDefault="009D1607" w:rsidP="008570B7">
            <w:pPr>
              <w:spacing w:after="1" w:line="272" w:lineRule="exact"/>
              <w:ind w:right="76"/>
              <w:jc w:val="center"/>
              <w:textAlignment w:val="baseline"/>
              <w:rPr>
                <w:rFonts w:eastAsia="Georgia" w:cs="Arial"/>
                <w:color w:val="000000"/>
                <w:sz w:val="18"/>
                <w:szCs w:val="18"/>
              </w:rPr>
            </w:pPr>
            <w:r w:rsidRPr="00FC4CA4">
              <w:rPr>
                <w:rFonts w:eastAsia="Georgia" w:cs="Arial"/>
                <w:color w:val="000000"/>
                <w:sz w:val="18"/>
                <w:szCs w:val="18"/>
              </w:rPr>
              <w:t>5</w:t>
            </w:r>
          </w:p>
        </w:tc>
      </w:tr>
      <w:tr w:rsidR="009D1607" w:rsidRPr="00FC4CA4" w14:paraId="455ED0CE" w14:textId="77777777" w:rsidTr="009D1607">
        <w:trPr>
          <w:trHeight w:hRule="exact" w:val="279"/>
        </w:trPr>
        <w:tc>
          <w:tcPr>
            <w:tcW w:w="1099" w:type="dxa"/>
          </w:tcPr>
          <w:p w14:paraId="14FBE5C4" w14:textId="77777777" w:rsidR="009D1607" w:rsidRPr="00FC4CA4" w:rsidRDefault="009D1607" w:rsidP="008570B7">
            <w:pPr>
              <w:spacing w:after="5" w:line="273" w:lineRule="exact"/>
              <w:jc w:val="center"/>
              <w:textAlignment w:val="baseline"/>
              <w:rPr>
                <w:rFonts w:eastAsia="Georgia" w:cs="Arial"/>
                <w:color w:val="000000"/>
                <w:sz w:val="18"/>
                <w:szCs w:val="18"/>
              </w:rPr>
            </w:pPr>
            <w:r w:rsidRPr="00FC4CA4">
              <w:rPr>
                <w:rFonts w:eastAsia="Georgia" w:cs="Arial"/>
                <w:color w:val="000000"/>
                <w:sz w:val="18"/>
                <w:szCs w:val="18"/>
              </w:rPr>
              <w:t>SCP-4</w:t>
            </w:r>
          </w:p>
        </w:tc>
        <w:tc>
          <w:tcPr>
            <w:tcW w:w="1805" w:type="dxa"/>
          </w:tcPr>
          <w:p w14:paraId="1EAA4182" w14:textId="77777777" w:rsidR="009D1607" w:rsidRPr="00FC4CA4" w:rsidRDefault="009D1607" w:rsidP="008570B7">
            <w:pPr>
              <w:spacing w:after="5" w:line="273" w:lineRule="exact"/>
              <w:ind w:left="101"/>
              <w:textAlignment w:val="baseline"/>
              <w:rPr>
                <w:rFonts w:eastAsia="Georgia" w:cs="Arial"/>
                <w:color w:val="000000"/>
                <w:sz w:val="18"/>
                <w:szCs w:val="18"/>
              </w:rPr>
            </w:pPr>
            <w:r w:rsidRPr="00FC4CA4">
              <w:rPr>
                <w:rFonts w:eastAsia="Georgia" w:cs="Arial"/>
                <w:color w:val="000000"/>
                <w:sz w:val="18"/>
                <w:szCs w:val="18"/>
              </w:rPr>
              <w:t>AST- 1 P4W</w:t>
            </w:r>
          </w:p>
        </w:tc>
        <w:tc>
          <w:tcPr>
            <w:tcW w:w="1321" w:type="dxa"/>
          </w:tcPr>
          <w:p w14:paraId="049FDFA3" w14:textId="77777777" w:rsidR="009D1607" w:rsidRPr="00FC4CA4" w:rsidRDefault="009D1607" w:rsidP="008570B7">
            <w:pPr>
              <w:spacing w:line="274" w:lineRule="exact"/>
              <w:jc w:val="center"/>
              <w:textAlignment w:val="baseline"/>
              <w:rPr>
                <w:rFonts w:eastAsia="Times New Roman" w:cs="Arial"/>
                <w:color w:val="000000"/>
                <w:sz w:val="18"/>
                <w:szCs w:val="18"/>
              </w:rPr>
            </w:pPr>
            <w:r w:rsidRPr="00FC4CA4">
              <w:rPr>
                <w:rFonts w:eastAsia="Georgia" w:cs="Arial"/>
                <w:color w:val="000000"/>
                <w:sz w:val="18"/>
                <w:szCs w:val="18"/>
              </w:rPr>
              <w:t>10</w:t>
            </w:r>
          </w:p>
        </w:tc>
        <w:tc>
          <w:tcPr>
            <w:tcW w:w="1709" w:type="dxa"/>
          </w:tcPr>
          <w:p w14:paraId="045327AA" w14:textId="77777777" w:rsidR="009D1607" w:rsidRPr="00FC4CA4" w:rsidRDefault="009D1607" w:rsidP="008570B7">
            <w:pPr>
              <w:spacing w:after="5" w:line="273" w:lineRule="exact"/>
              <w:jc w:val="center"/>
              <w:textAlignment w:val="baseline"/>
              <w:rPr>
                <w:rFonts w:eastAsia="Georgia" w:cs="Arial"/>
                <w:color w:val="000000"/>
                <w:sz w:val="18"/>
                <w:szCs w:val="18"/>
              </w:rPr>
            </w:pPr>
            <w:r w:rsidRPr="00FC4CA4">
              <w:rPr>
                <w:rFonts w:eastAsia="Georgia" w:cs="Arial"/>
                <w:color w:val="000000"/>
                <w:sz w:val="18"/>
                <w:szCs w:val="18"/>
              </w:rPr>
              <w:t>6</w:t>
            </w:r>
          </w:p>
        </w:tc>
        <w:tc>
          <w:tcPr>
            <w:tcW w:w="1413" w:type="dxa"/>
          </w:tcPr>
          <w:p w14:paraId="0525681F" w14:textId="77777777" w:rsidR="009D1607" w:rsidRPr="00FC4CA4" w:rsidRDefault="009D1607" w:rsidP="008570B7">
            <w:pPr>
              <w:spacing w:after="5" w:line="273" w:lineRule="exact"/>
              <w:jc w:val="center"/>
              <w:textAlignment w:val="baseline"/>
              <w:rPr>
                <w:rFonts w:eastAsia="Georgia" w:cs="Arial"/>
                <w:color w:val="000000"/>
                <w:sz w:val="18"/>
                <w:szCs w:val="18"/>
              </w:rPr>
            </w:pPr>
            <w:r w:rsidRPr="00FC4CA4">
              <w:rPr>
                <w:rFonts w:eastAsia="Georgia" w:cs="Arial"/>
                <w:color w:val="000000"/>
                <w:sz w:val="18"/>
                <w:szCs w:val="18"/>
              </w:rPr>
              <w:t>1</w:t>
            </w:r>
          </w:p>
        </w:tc>
        <w:tc>
          <w:tcPr>
            <w:tcW w:w="1440" w:type="dxa"/>
          </w:tcPr>
          <w:p w14:paraId="07182C0E" w14:textId="77777777" w:rsidR="009D1607" w:rsidRPr="00FC4CA4" w:rsidRDefault="009D1607" w:rsidP="008570B7">
            <w:pPr>
              <w:spacing w:after="5" w:line="273" w:lineRule="exact"/>
              <w:ind w:right="76"/>
              <w:jc w:val="center"/>
              <w:textAlignment w:val="baseline"/>
              <w:rPr>
                <w:rFonts w:eastAsia="Georgia" w:cs="Arial"/>
                <w:color w:val="000000"/>
                <w:sz w:val="18"/>
                <w:szCs w:val="18"/>
              </w:rPr>
            </w:pPr>
            <w:r w:rsidRPr="00FC4CA4">
              <w:rPr>
                <w:rFonts w:eastAsia="Georgia" w:cs="Arial"/>
                <w:color w:val="000000"/>
                <w:sz w:val="18"/>
                <w:szCs w:val="18"/>
              </w:rPr>
              <w:t>3</w:t>
            </w:r>
          </w:p>
        </w:tc>
      </w:tr>
      <w:tr w:rsidR="009D1607" w:rsidRPr="00FC4CA4" w14:paraId="63575EC2" w14:textId="77777777" w:rsidTr="009D1607">
        <w:trPr>
          <w:cnfStyle w:val="000000100000" w:firstRow="0" w:lastRow="0" w:firstColumn="0" w:lastColumn="0" w:oddVBand="0" w:evenVBand="0" w:oddHBand="1" w:evenHBand="0" w:firstRowFirstColumn="0" w:firstRowLastColumn="0" w:lastRowFirstColumn="0" w:lastRowLastColumn="0"/>
          <w:trHeight w:hRule="exact" w:val="283"/>
        </w:trPr>
        <w:tc>
          <w:tcPr>
            <w:tcW w:w="1099" w:type="dxa"/>
          </w:tcPr>
          <w:p w14:paraId="617D3FC2" w14:textId="77777777" w:rsidR="009D1607" w:rsidRPr="00FC4CA4" w:rsidRDefault="009D1607" w:rsidP="008570B7">
            <w:pPr>
              <w:spacing w:after="1" w:line="272" w:lineRule="exact"/>
              <w:jc w:val="center"/>
              <w:textAlignment w:val="baseline"/>
              <w:rPr>
                <w:rFonts w:eastAsia="Georgia" w:cs="Arial"/>
                <w:color w:val="000000"/>
                <w:sz w:val="18"/>
                <w:szCs w:val="18"/>
              </w:rPr>
            </w:pPr>
            <w:r w:rsidRPr="00FC4CA4">
              <w:rPr>
                <w:rFonts w:eastAsia="Georgia" w:cs="Arial"/>
                <w:color w:val="000000"/>
                <w:sz w:val="18"/>
                <w:szCs w:val="18"/>
              </w:rPr>
              <w:t>SCP-5</w:t>
            </w:r>
          </w:p>
        </w:tc>
        <w:tc>
          <w:tcPr>
            <w:tcW w:w="1805" w:type="dxa"/>
          </w:tcPr>
          <w:p w14:paraId="1D03D5E9" w14:textId="77777777" w:rsidR="009D1607" w:rsidRPr="00FC4CA4" w:rsidRDefault="009D1607" w:rsidP="008570B7">
            <w:pPr>
              <w:spacing w:after="1" w:line="272" w:lineRule="exact"/>
              <w:ind w:left="101"/>
              <w:textAlignment w:val="baseline"/>
              <w:rPr>
                <w:rFonts w:eastAsia="Georgia" w:cs="Arial"/>
                <w:color w:val="000000"/>
                <w:sz w:val="18"/>
                <w:szCs w:val="18"/>
              </w:rPr>
            </w:pPr>
            <w:r w:rsidRPr="00FC4CA4">
              <w:rPr>
                <w:rFonts w:eastAsia="Georgia" w:cs="Arial"/>
                <w:color w:val="000000"/>
                <w:sz w:val="18"/>
                <w:szCs w:val="18"/>
              </w:rPr>
              <w:t>AST- 1 P8W</w:t>
            </w:r>
          </w:p>
        </w:tc>
        <w:tc>
          <w:tcPr>
            <w:tcW w:w="1321" w:type="dxa"/>
          </w:tcPr>
          <w:p w14:paraId="37321CB8" w14:textId="77777777" w:rsidR="009D1607" w:rsidRPr="00FC4CA4" w:rsidRDefault="009D1607" w:rsidP="008570B7">
            <w:pPr>
              <w:spacing w:line="265" w:lineRule="exact"/>
              <w:jc w:val="center"/>
              <w:textAlignment w:val="baseline"/>
              <w:rPr>
                <w:rFonts w:eastAsia="Times New Roman" w:cs="Arial"/>
                <w:color w:val="000000"/>
                <w:sz w:val="18"/>
                <w:szCs w:val="18"/>
              </w:rPr>
            </w:pPr>
            <w:r w:rsidRPr="00FC4CA4">
              <w:rPr>
                <w:rFonts w:eastAsia="Georgia" w:cs="Arial"/>
                <w:color w:val="000000"/>
                <w:sz w:val="18"/>
                <w:szCs w:val="18"/>
              </w:rPr>
              <w:t>6</w:t>
            </w:r>
          </w:p>
        </w:tc>
        <w:tc>
          <w:tcPr>
            <w:tcW w:w="1709" w:type="dxa"/>
          </w:tcPr>
          <w:p w14:paraId="188486DA" w14:textId="77777777" w:rsidR="009D1607" w:rsidRPr="00FC4CA4" w:rsidRDefault="009D1607" w:rsidP="008570B7">
            <w:pPr>
              <w:spacing w:after="1" w:line="272" w:lineRule="exact"/>
              <w:jc w:val="center"/>
              <w:textAlignment w:val="baseline"/>
              <w:rPr>
                <w:rFonts w:eastAsia="Georgia" w:cs="Arial"/>
                <w:color w:val="000000"/>
                <w:sz w:val="18"/>
                <w:szCs w:val="18"/>
              </w:rPr>
            </w:pPr>
            <w:r w:rsidRPr="00FC4CA4">
              <w:rPr>
                <w:rFonts w:eastAsia="Georgia" w:cs="Arial"/>
                <w:color w:val="000000"/>
                <w:sz w:val="18"/>
                <w:szCs w:val="18"/>
              </w:rPr>
              <w:t>4</w:t>
            </w:r>
          </w:p>
        </w:tc>
        <w:tc>
          <w:tcPr>
            <w:tcW w:w="1413" w:type="dxa"/>
          </w:tcPr>
          <w:p w14:paraId="2F362207" w14:textId="77777777" w:rsidR="009D1607" w:rsidRPr="00FC4CA4" w:rsidRDefault="009D1607" w:rsidP="008570B7">
            <w:pPr>
              <w:spacing w:after="1" w:line="272" w:lineRule="exact"/>
              <w:jc w:val="center"/>
              <w:textAlignment w:val="baseline"/>
              <w:rPr>
                <w:rFonts w:eastAsia="Georgia" w:cs="Arial"/>
                <w:color w:val="000000"/>
                <w:sz w:val="18"/>
                <w:szCs w:val="18"/>
              </w:rPr>
            </w:pPr>
            <w:r w:rsidRPr="00FC4CA4">
              <w:rPr>
                <w:rFonts w:eastAsia="Georgia" w:cs="Arial"/>
                <w:color w:val="000000"/>
                <w:sz w:val="18"/>
                <w:szCs w:val="18"/>
              </w:rPr>
              <w:t>0.7</w:t>
            </w:r>
          </w:p>
        </w:tc>
        <w:tc>
          <w:tcPr>
            <w:tcW w:w="1440" w:type="dxa"/>
          </w:tcPr>
          <w:p w14:paraId="4AC42F4C" w14:textId="77777777" w:rsidR="009D1607" w:rsidRPr="00FC4CA4" w:rsidRDefault="009D1607" w:rsidP="008570B7">
            <w:pPr>
              <w:spacing w:after="1" w:line="272" w:lineRule="exact"/>
              <w:ind w:right="76"/>
              <w:jc w:val="center"/>
              <w:textAlignment w:val="baseline"/>
              <w:rPr>
                <w:rFonts w:eastAsia="Georgia" w:cs="Arial"/>
                <w:color w:val="000000"/>
                <w:sz w:val="18"/>
                <w:szCs w:val="18"/>
              </w:rPr>
            </w:pPr>
            <w:r w:rsidRPr="00FC4CA4">
              <w:rPr>
                <w:rFonts w:eastAsia="Georgia" w:cs="Arial"/>
                <w:color w:val="000000"/>
                <w:sz w:val="18"/>
                <w:szCs w:val="18"/>
              </w:rPr>
              <w:t>2</w:t>
            </w:r>
          </w:p>
        </w:tc>
      </w:tr>
      <w:tr w:rsidR="009D1607" w:rsidRPr="00FC4CA4" w14:paraId="171F4828" w14:textId="77777777" w:rsidTr="009D1607">
        <w:trPr>
          <w:trHeight w:hRule="exact" w:val="283"/>
        </w:trPr>
        <w:tc>
          <w:tcPr>
            <w:tcW w:w="1099" w:type="dxa"/>
          </w:tcPr>
          <w:p w14:paraId="29DB24C0" w14:textId="77777777" w:rsidR="009D1607" w:rsidRPr="00FC4CA4" w:rsidRDefault="009D1607" w:rsidP="008570B7">
            <w:pPr>
              <w:spacing w:after="6" w:line="272" w:lineRule="exact"/>
              <w:jc w:val="center"/>
              <w:textAlignment w:val="baseline"/>
              <w:rPr>
                <w:rFonts w:eastAsia="Georgia" w:cs="Arial"/>
                <w:color w:val="000000"/>
                <w:sz w:val="18"/>
                <w:szCs w:val="18"/>
              </w:rPr>
            </w:pPr>
            <w:r w:rsidRPr="00FC4CA4">
              <w:rPr>
                <w:rFonts w:eastAsia="Georgia" w:cs="Arial"/>
                <w:color w:val="000000"/>
                <w:sz w:val="18"/>
                <w:szCs w:val="18"/>
              </w:rPr>
              <w:t>SCP-6</w:t>
            </w:r>
          </w:p>
        </w:tc>
        <w:tc>
          <w:tcPr>
            <w:tcW w:w="1805" w:type="dxa"/>
          </w:tcPr>
          <w:p w14:paraId="571D9F48" w14:textId="77777777" w:rsidR="009D1607" w:rsidRPr="00FC4CA4" w:rsidRDefault="009D1607" w:rsidP="008570B7">
            <w:pPr>
              <w:spacing w:after="6" w:line="272" w:lineRule="exact"/>
              <w:ind w:left="101"/>
              <w:textAlignment w:val="baseline"/>
              <w:rPr>
                <w:rFonts w:eastAsia="Georgia" w:cs="Arial"/>
                <w:color w:val="000000"/>
                <w:sz w:val="18"/>
                <w:szCs w:val="18"/>
              </w:rPr>
            </w:pPr>
            <w:r w:rsidRPr="00FC4CA4">
              <w:rPr>
                <w:rFonts w:eastAsia="Georgia" w:cs="Arial"/>
                <w:color w:val="000000"/>
                <w:sz w:val="18"/>
                <w:szCs w:val="18"/>
              </w:rPr>
              <w:t>AST- 1 P12W</w:t>
            </w:r>
          </w:p>
        </w:tc>
        <w:tc>
          <w:tcPr>
            <w:tcW w:w="1321" w:type="dxa"/>
          </w:tcPr>
          <w:p w14:paraId="26747C94" w14:textId="77777777" w:rsidR="009D1607" w:rsidRPr="00FC4CA4" w:rsidRDefault="009D1607" w:rsidP="008570B7">
            <w:pPr>
              <w:spacing w:line="270" w:lineRule="exact"/>
              <w:jc w:val="center"/>
              <w:textAlignment w:val="baseline"/>
              <w:rPr>
                <w:rFonts w:eastAsia="Times New Roman" w:cs="Arial"/>
                <w:color w:val="000000"/>
                <w:sz w:val="18"/>
                <w:szCs w:val="18"/>
              </w:rPr>
            </w:pPr>
            <w:r w:rsidRPr="00FC4CA4">
              <w:rPr>
                <w:rFonts w:eastAsia="Georgia" w:cs="Arial"/>
                <w:color w:val="000000"/>
                <w:sz w:val="18"/>
                <w:szCs w:val="18"/>
              </w:rPr>
              <w:t>4</w:t>
            </w:r>
          </w:p>
        </w:tc>
        <w:tc>
          <w:tcPr>
            <w:tcW w:w="1709" w:type="dxa"/>
          </w:tcPr>
          <w:p w14:paraId="5DDBF110" w14:textId="77777777" w:rsidR="009D1607" w:rsidRPr="00FC4CA4" w:rsidRDefault="009D1607" w:rsidP="008570B7">
            <w:pPr>
              <w:spacing w:after="6" w:line="272" w:lineRule="exact"/>
              <w:jc w:val="center"/>
              <w:textAlignment w:val="baseline"/>
              <w:rPr>
                <w:rFonts w:eastAsia="Georgia" w:cs="Arial"/>
                <w:color w:val="000000"/>
                <w:sz w:val="18"/>
                <w:szCs w:val="18"/>
              </w:rPr>
            </w:pPr>
            <w:r w:rsidRPr="00FC4CA4">
              <w:rPr>
                <w:rFonts w:eastAsia="Georgia" w:cs="Arial"/>
                <w:color w:val="000000"/>
                <w:sz w:val="18"/>
                <w:szCs w:val="18"/>
              </w:rPr>
              <w:t>2</w:t>
            </w:r>
          </w:p>
        </w:tc>
        <w:tc>
          <w:tcPr>
            <w:tcW w:w="1413" w:type="dxa"/>
          </w:tcPr>
          <w:p w14:paraId="59BBCE99" w14:textId="77777777" w:rsidR="009D1607" w:rsidRPr="00FC4CA4" w:rsidRDefault="009D1607" w:rsidP="008570B7">
            <w:pPr>
              <w:spacing w:after="6" w:line="272" w:lineRule="exact"/>
              <w:jc w:val="center"/>
              <w:textAlignment w:val="baseline"/>
              <w:rPr>
                <w:rFonts w:eastAsia="Georgia" w:cs="Arial"/>
                <w:color w:val="000000"/>
                <w:sz w:val="18"/>
                <w:szCs w:val="18"/>
              </w:rPr>
            </w:pPr>
            <w:r w:rsidRPr="00FC4CA4">
              <w:rPr>
                <w:rFonts w:eastAsia="Georgia" w:cs="Arial"/>
                <w:color w:val="000000"/>
                <w:sz w:val="18"/>
                <w:szCs w:val="18"/>
              </w:rPr>
              <w:t>0</w:t>
            </w:r>
          </w:p>
        </w:tc>
        <w:tc>
          <w:tcPr>
            <w:tcW w:w="1440" w:type="dxa"/>
          </w:tcPr>
          <w:p w14:paraId="14F1B0FB" w14:textId="77777777" w:rsidR="009D1607" w:rsidRPr="00FC4CA4" w:rsidRDefault="009D1607" w:rsidP="008570B7">
            <w:pPr>
              <w:spacing w:after="6" w:line="272" w:lineRule="exact"/>
              <w:ind w:right="76"/>
              <w:jc w:val="center"/>
              <w:textAlignment w:val="baseline"/>
              <w:rPr>
                <w:rFonts w:eastAsia="Georgia" w:cs="Arial"/>
                <w:color w:val="000000"/>
                <w:sz w:val="18"/>
                <w:szCs w:val="18"/>
              </w:rPr>
            </w:pPr>
            <w:r w:rsidRPr="00FC4CA4">
              <w:rPr>
                <w:rFonts w:eastAsia="Georgia" w:cs="Arial"/>
                <w:color w:val="000000"/>
                <w:sz w:val="18"/>
                <w:szCs w:val="18"/>
              </w:rPr>
              <w:t>1</w:t>
            </w:r>
          </w:p>
        </w:tc>
      </w:tr>
      <w:tr w:rsidR="009D1607" w:rsidRPr="00FC4CA4" w14:paraId="1C19EE53" w14:textId="77777777" w:rsidTr="009D1607">
        <w:trPr>
          <w:cnfStyle w:val="000000100000" w:firstRow="0" w:lastRow="0" w:firstColumn="0" w:lastColumn="0" w:oddVBand="0" w:evenVBand="0" w:oddHBand="1" w:evenHBand="0" w:firstRowFirstColumn="0" w:firstRowLastColumn="0" w:lastRowFirstColumn="0" w:lastRowLastColumn="0"/>
          <w:trHeight w:hRule="exact" w:val="283"/>
        </w:trPr>
        <w:tc>
          <w:tcPr>
            <w:tcW w:w="1099" w:type="dxa"/>
          </w:tcPr>
          <w:p w14:paraId="261FD823" w14:textId="77777777" w:rsidR="009D1607" w:rsidRPr="00FC4CA4" w:rsidRDefault="009D1607" w:rsidP="008570B7">
            <w:pPr>
              <w:spacing w:after="11" w:line="272" w:lineRule="exact"/>
              <w:jc w:val="center"/>
              <w:textAlignment w:val="baseline"/>
              <w:rPr>
                <w:rFonts w:eastAsia="Georgia" w:cs="Arial"/>
                <w:color w:val="000000"/>
                <w:sz w:val="18"/>
                <w:szCs w:val="18"/>
              </w:rPr>
            </w:pPr>
            <w:r w:rsidRPr="00FC4CA4">
              <w:rPr>
                <w:rFonts w:eastAsia="Georgia" w:cs="Arial"/>
                <w:color w:val="000000"/>
                <w:sz w:val="18"/>
                <w:szCs w:val="18"/>
              </w:rPr>
              <w:t>SCP-7</w:t>
            </w:r>
          </w:p>
        </w:tc>
        <w:tc>
          <w:tcPr>
            <w:tcW w:w="1805" w:type="dxa"/>
          </w:tcPr>
          <w:p w14:paraId="2EB373A2" w14:textId="77777777" w:rsidR="009D1607" w:rsidRPr="00FC4CA4" w:rsidRDefault="009D1607" w:rsidP="008570B7">
            <w:pPr>
              <w:spacing w:after="11" w:line="272" w:lineRule="exact"/>
              <w:ind w:left="101"/>
              <w:textAlignment w:val="baseline"/>
              <w:rPr>
                <w:rFonts w:eastAsia="Georgia" w:cs="Arial"/>
                <w:color w:val="000000"/>
                <w:sz w:val="18"/>
                <w:szCs w:val="18"/>
              </w:rPr>
            </w:pPr>
            <w:r w:rsidRPr="00FC4CA4">
              <w:rPr>
                <w:rFonts w:eastAsia="Georgia" w:cs="Arial"/>
                <w:color w:val="000000"/>
                <w:sz w:val="18"/>
                <w:szCs w:val="18"/>
              </w:rPr>
              <w:t>AST- S1 or S2</w:t>
            </w:r>
          </w:p>
        </w:tc>
        <w:tc>
          <w:tcPr>
            <w:tcW w:w="1321" w:type="dxa"/>
          </w:tcPr>
          <w:p w14:paraId="3567DB2E" w14:textId="77777777" w:rsidR="009D1607" w:rsidRPr="00FC4CA4" w:rsidRDefault="009D1607" w:rsidP="008570B7">
            <w:pPr>
              <w:spacing w:line="275" w:lineRule="exact"/>
              <w:jc w:val="center"/>
              <w:textAlignment w:val="baseline"/>
              <w:rPr>
                <w:rFonts w:eastAsia="Times New Roman" w:cs="Arial"/>
                <w:color w:val="000000"/>
                <w:sz w:val="18"/>
                <w:szCs w:val="18"/>
              </w:rPr>
            </w:pPr>
            <w:r w:rsidRPr="00FC4CA4">
              <w:rPr>
                <w:rFonts w:eastAsia="Georgia" w:cs="Arial"/>
                <w:color w:val="000000"/>
                <w:sz w:val="18"/>
                <w:szCs w:val="18"/>
              </w:rPr>
              <w:t>15</w:t>
            </w:r>
          </w:p>
        </w:tc>
        <w:tc>
          <w:tcPr>
            <w:tcW w:w="1709" w:type="dxa"/>
          </w:tcPr>
          <w:p w14:paraId="6C503891" w14:textId="77777777" w:rsidR="009D1607" w:rsidRPr="00FC4CA4" w:rsidRDefault="009D1607" w:rsidP="008570B7">
            <w:pPr>
              <w:spacing w:after="11" w:line="272" w:lineRule="exact"/>
              <w:jc w:val="center"/>
              <w:textAlignment w:val="baseline"/>
              <w:rPr>
                <w:rFonts w:eastAsia="Georgia" w:cs="Arial"/>
                <w:color w:val="000000"/>
                <w:sz w:val="18"/>
                <w:szCs w:val="18"/>
              </w:rPr>
            </w:pPr>
            <w:r w:rsidRPr="00FC4CA4">
              <w:rPr>
                <w:rFonts w:eastAsia="Georgia" w:cs="Arial"/>
                <w:color w:val="000000"/>
                <w:sz w:val="18"/>
                <w:szCs w:val="18"/>
              </w:rPr>
              <w:t>7</w:t>
            </w:r>
          </w:p>
        </w:tc>
        <w:tc>
          <w:tcPr>
            <w:tcW w:w="1413" w:type="dxa"/>
          </w:tcPr>
          <w:p w14:paraId="5C97101B" w14:textId="77777777" w:rsidR="009D1607" w:rsidRPr="00FC4CA4" w:rsidRDefault="009D1607" w:rsidP="008570B7">
            <w:pPr>
              <w:spacing w:after="11" w:line="272" w:lineRule="exact"/>
              <w:jc w:val="center"/>
              <w:textAlignment w:val="baseline"/>
              <w:rPr>
                <w:rFonts w:eastAsia="Georgia" w:cs="Arial"/>
                <w:color w:val="000000"/>
                <w:sz w:val="18"/>
                <w:szCs w:val="18"/>
              </w:rPr>
            </w:pPr>
            <w:r w:rsidRPr="00FC4CA4">
              <w:rPr>
                <w:rFonts w:eastAsia="Georgia" w:cs="Arial"/>
                <w:color w:val="000000"/>
                <w:sz w:val="18"/>
                <w:szCs w:val="18"/>
              </w:rPr>
              <w:t>1</w:t>
            </w:r>
          </w:p>
        </w:tc>
        <w:tc>
          <w:tcPr>
            <w:tcW w:w="1440" w:type="dxa"/>
          </w:tcPr>
          <w:p w14:paraId="2A51B859" w14:textId="77777777" w:rsidR="009D1607" w:rsidRPr="00FC4CA4" w:rsidRDefault="009D1607" w:rsidP="008570B7">
            <w:pPr>
              <w:spacing w:after="11" w:line="272" w:lineRule="exact"/>
              <w:ind w:right="76"/>
              <w:jc w:val="center"/>
              <w:textAlignment w:val="baseline"/>
              <w:rPr>
                <w:rFonts w:eastAsia="Georgia" w:cs="Arial"/>
                <w:color w:val="000000"/>
                <w:sz w:val="18"/>
                <w:szCs w:val="18"/>
              </w:rPr>
            </w:pPr>
            <w:r w:rsidRPr="00FC4CA4">
              <w:rPr>
                <w:rFonts w:eastAsia="Georgia" w:cs="Arial"/>
                <w:color w:val="000000"/>
                <w:sz w:val="18"/>
                <w:szCs w:val="18"/>
              </w:rPr>
              <w:t>4</w:t>
            </w:r>
          </w:p>
        </w:tc>
      </w:tr>
      <w:tr w:rsidR="009D1607" w:rsidRPr="00FC4CA4" w14:paraId="2DC4B2C0" w14:textId="77777777" w:rsidTr="009D1607">
        <w:trPr>
          <w:trHeight w:hRule="exact" w:val="284"/>
        </w:trPr>
        <w:tc>
          <w:tcPr>
            <w:tcW w:w="1099" w:type="dxa"/>
          </w:tcPr>
          <w:p w14:paraId="29D89E46" w14:textId="77777777" w:rsidR="009D1607" w:rsidRPr="00FC4CA4" w:rsidRDefault="009D1607" w:rsidP="008570B7">
            <w:pPr>
              <w:spacing w:line="273" w:lineRule="exact"/>
              <w:jc w:val="center"/>
              <w:textAlignment w:val="baseline"/>
              <w:rPr>
                <w:rFonts w:eastAsia="Georgia" w:cs="Arial"/>
                <w:color w:val="000000"/>
                <w:sz w:val="18"/>
                <w:szCs w:val="18"/>
              </w:rPr>
            </w:pPr>
            <w:r w:rsidRPr="00FC4CA4">
              <w:rPr>
                <w:rFonts w:eastAsia="Georgia" w:cs="Arial"/>
                <w:color w:val="000000"/>
                <w:sz w:val="18"/>
                <w:szCs w:val="18"/>
              </w:rPr>
              <w:t>SCP-8</w:t>
            </w:r>
          </w:p>
        </w:tc>
        <w:tc>
          <w:tcPr>
            <w:tcW w:w="1805" w:type="dxa"/>
          </w:tcPr>
          <w:p w14:paraId="763CBF24" w14:textId="77777777" w:rsidR="009D1607" w:rsidRPr="00FC4CA4" w:rsidRDefault="009D1607" w:rsidP="008570B7">
            <w:pPr>
              <w:spacing w:line="273" w:lineRule="exact"/>
              <w:ind w:left="101"/>
              <w:textAlignment w:val="baseline"/>
              <w:rPr>
                <w:rFonts w:eastAsia="Georgia" w:cs="Arial"/>
                <w:color w:val="000000"/>
                <w:sz w:val="18"/>
                <w:szCs w:val="18"/>
              </w:rPr>
            </w:pPr>
            <w:r w:rsidRPr="00FC4CA4">
              <w:rPr>
                <w:rFonts w:eastAsia="Georgia" w:cs="Arial"/>
                <w:color w:val="000000"/>
                <w:sz w:val="18"/>
                <w:szCs w:val="18"/>
              </w:rPr>
              <w:t>AST- S3 or S4</w:t>
            </w:r>
          </w:p>
        </w:tc>
        <w:tc>
          <w:tcPr>
            <w:tcW w:w="1321" w:type="dxa"/>
          </w:tcPr>
          <w:p w14:paraId="137DAE82" w14:textId="77777777" w:rsidR="009D1607" w:rsidRPr="00FC4CA4" w:rsidRDefault="009D1607" w:rsidP="008570B7">
            <w:pPr>
              <w:spacing w:line="264" w:lineRule="exact"/>
              <w:jc w:val="center"/>
              <w:textAlignment w:val="baseline"/>
              <w:rPr>
                <w:rFonts w:eastAsia="Times New Roman" w:cs="Arial"/>
                <w:color w:val="000000"/>
                <w:sz w:val="18"/>
                <w:szCs w:val="18"/>
              </w:rPr>
            </w:pPr>
            <w:r w:rsidRPr="00FC4CA4">
              <w:rPr>
                <w:rFonts w:eastAsia="Georgia" w:cs="Arial"/>
                <w:color w:val="000000"/>
                <w:sz w:val="18"/>
                <w:szCs w:val="18"/>
              </w:rPr>
              <w:t>20</w:t>
            </w:r>
          </w:p>
        </w:tc>
        <w:tc>
          <w:tcPr>
            <w:tcW w:w="1709" w:type="dxa"/>
          </w:tcPr>
          <w:p w14:paraId="579C7064" w14:textId="77777777" w:rsidR="009D1607" w:rsidRPr="00FC4CA4" w:rsidRDefault="009D1607" w:rsidP="008570B7">
            <w:pPr>
              <w:spacing w:line="273" w:lineRule="exact"/>
              <w:jc w:val="center"/>
              <w:textAlignment w:val="baseline"/>
              <w:rPr>
                <w:rFonts w:eastAsia="Georgia" w:cs="Arial"/>
                <w:color w:val="000000"/>
                <w:sz w:val="18"/>
                <w:szCs w:val="18"/>
              </w:rPr>
            </w:pPr>
            <w:r w:rsidRPr="00FC4CA4">
              <w:rPr>
                <w:rFonts w:eastAsia="Georgia" w:cs="Arial"/>
                <w:color w:val="000000"/>
                <w:sz w:val="18"/>
                <w:szCs w:val="18"/>
              </w:rPr>
              <w:t>10</w:t>
            </w:r>
          </w:p>
        </w:tc>
        <w:tc>
          <w:tcPr>
            <w:tcW w:w="1413" w:type="dxa"/>
          </w:tcPr>
          <w:p w14:paraId="27908AE4" w14:textId="77777777" w:rsidR="009D1607" w:rsidRPr="00FC4CA4" w:rsidRDefault="009D1607" w:rsidP="008570B7">
            <w:pPr>
              <w:spacing w:line="273" w:lineRule="exact"/>
              <w:jc w:val="center"/>
              <w:textAlignment w:val="baseline"/>
              <w:rPr>
                <w:rFonts w:eastAsia="Georgia" w:cs="Arial"/>
                <w:color w:val="000000"/>
                <w:sz w:val="18"/>
                <w:szCs w:val="18"/>
              </w:rPr>
            </w:pPr>
            <w:r w:rsidRPr="00FC4CA4">
              <w:rPr>
                <w:rFonts w:eastAsia="Georgia" w:cs="Arial"/>
                <w:color w:val="000000"/>
                <w:sz w:val="18"/>
                <w:szCs w:val="18"/>
              </w:rPr>
              <w:t>2</w:t>
            </w:r>
          </w:p>
        </w:tc>
        <w:tc>
          <w:tcPr>
            <w:tcW w:w="1440" w:type="dxa"/>
          </w:tcPr>
          <w:p w14:paraId="6F2D0925" w14:textId="77777777" w:rsidR="009D1607" w:rsidRPr="00FC4CA4" w:rsidRDefault="009D1607" w:rsidP="008570B7">
            <w:pPr>
              <w:spacing w:line="273" w:lineRule="exact"/>
              <w:ind w:right="76"/>
              <w:jc w:val="center"/>
              <w:textAlignment w:val="baseline"/>
              <w:rPr>
                <w:rFonts w:eastAsia="Georgia" w:cs="Arial"/>
                <w:color w:val="000000"/>
                <w:sz w:val="18"/>
                <w:szCs w:val="18"/>
              </w:rPr>
            </w:pPr>
            <w:r w:rsidRPr="00FC4CA4">
              <w:rPr>
                <w:rFonts w:eastAsia="Georgia" w:cs="Arial"/>
                <w:color w:val="000000"/>
                <w:sz w:val="18"/>
                <w:szCs w:val="18"/>
              </w:rPr>
              <w:t>5</w:t>
            </w:r>
          </w:p>
        </w:tc>
      </w:tr>
      <w:tr w:rsidR="009D1607" w:rsidRPr="00FC4CA4" w14:paraId="26CB605D" w14:textId="77777777" w:rsidTr="009D1607">
        <w:trPr>
          <w:cnfStyle w:val="000000100000" w:firstRow="0" w:lastRow="0" w:firstColumn="0" w:lastColumn="0" w:oddVBand="0" w:evenVBand="0" w:oddHBand="1" w:evenHBand="0" w:firstRowFirstColumn="0" w:firstRowLastColumn="0" w:lastRowFirstColumn="0" w:lastRowLastColumn="0"/>
          <w:trHeight w:hRule="exact" w:val="283"/>
        </w:trPr>
        <w:tc>
          <w:tcPr>
            <w:tcW w:w="1099" w:type="dxa"/>
          </w:tcPr>
          <w:p w14:paraId="6E0A2F36" w14:textId="77777777" w:rsidR="009D1607" w:rsidRPr="00FC4CA4" w:rsidRDefault="009D1607" w:rsidP="008570B7">
            <w:pPr>
              <w:spacing w:after="4" w:line="273" w:lineRule="exact"/>
              <w:jc w:val="center"/>
              <w:textAlignment w:val="baseline"/>
              <w:rPr>
                <w:rFonts w:eastAsia="Georgia" w:cs="Arial"/>
                <w:color w:val="000000"/>
                <w:sz w:val="18"/>
                <w:szCs w:val="18"/>
              </w:rPr>
            </w:pPr>
            <w:r w:rsidRPr="00FC4CA4">
              <w:rPr>
                <w:rFonts w:eastAsia="Georgia" w:cs="Arial"/>
                <w:color w:val="000000"/>
                <w:sz w:val="18"/>
                <w:szCs w:val="18"/>
              </w:rPr>
              <w:t>SCP-9</w:t>
            </w:r>
          </w:p>
        </w:tc>
        <w:tc>
          <w:tcPr>
            <w:tcW w:w="1805" w:type="dxa"/>
          </w:tcPr>
          <w:p w14:paraId="17C2250E" w14:textId="77777777" w:rsidR="009D1607" w:rsidRPr="00FC4CA4" w:rsidRDefault="009D1607" w:rsidP="008570B7">
            <w:pPr>
              <w:spacing w:after="5" w:line="272" w:lineRule="exact"/>
              <w:ind w:left="101"/>
              <w:textAlignment w:val="baseline"/>
              <w:rPr>
                <w:rFonts w:eastAsia="Georgia" w:cs="Arial"/>
                <w:color w:val="000000"/>
                <w:sz w:val="18"/>
                <w:szCs w:val="18"/>
              </w:rPr>
            </w:pPr>
            <w:r w:rsidRPr="00FC4CA4">
              <w:rPr>
                <w:rFonts w:eastAsia="Georgia" w:cs="Arial"/>
                <w:color w:val="000000"/>
                <w:sz w:val="18"/>
                <w:szCs w:val="18"/>
              </w:rPr>
              <w:t>MBT- 2PW</w:t>
            </w:r>
          </w:p>
        </w:tc>
        <w:tc>
          <w:tcPr>
            <w:tcW w:w="1321" w:type="dxa"/>
          </w:tcPr>
          <w:p w14:paraId="0E143612" w14:textId="77777777" w:rsidR="009D1607" w:rsidRPr="00FC4CA4" w:rsidRDefault="009D1607" w:rsidP="008570B7">
            <w:pPr>
              <w:spacing w:line="269" w:lineRule="exact"/>
              <w:jc w:val="center"/>
              <w:textAlignment w:val="baseline"/>
              <w:rPr>
                <w:rFonts w:eastAsia="Times New Roman" w:cs="Arial"/>
                <w:color w:val="000000"/>
                <w:sz w:val="18"/>
                <w:szCs w:val="18"/>
              </w:rPr>
            </w:pPr>
            <w:r w:rsidRPr="00FC4CA4">
              <w:rPr>
                <w:rFonts w:eastAsia="Georgia" w:cs="Arial"/>
                <w:color w:val="000000"/>
                <w:sz w:val="18"/>
                <w:szCs w:val="18"/>
              </w:rPr>
              <w:t>100</w:t>
            </w:r>
          </w:p>
        </w:tc>
        <w:tc>
          <w:tcPr>
            <w:tcW w:w="1709" w:type="dxa"/>
          </w:tcPr>
          <w:p w14:paraId="386B1BEB" w14:textId="77777777" w:rsidR="009D1607" w:rsidRPr="00FC4CA4" w:rsidRDefault="009D1607" w:rsidP="008570B7">
            <w:pPr>
              <w:spacing w:after="5" w:line="272" w:lineRule="exact"/>
              <w:jc w:val="center"/>
              <w:textAlignment w:val="baseline"/>
              <w:rPr>
                <w:rFonts w:eastAsia="Georgia" w:cs="Arial"/>
                <w:color w:val="000000"/>
                <w:sz w:val="18"/>
                <w:szCs w:val="18"/>
              </w:rPr>
            </w:pPr>
            <w:r w:rsidRPr="00FC4CA4">
              <w:rPr>
                <w:rFonts w:eastAsia="Georgia" w:cs="Arial"/>
                <w:color w:val="000000"/>
                <w:sz w:val="18"/>
                <w:szCs w:val="18"/>
              </w:rPr>
              <w:t>0.7</w:t>
            </w:r>
          </w:p>
        </w:tc>
        <w:tc>
          <w:tcPr>
            <w:tcW w:w="1413" w:type="dxa"/>
          </w:tcPr>
          <w:p w14:paraId="001AD5E0" w14:textId="77777777" w:rsidR="009D1607" w:rsidRPr="00FC4CA4" w:rsidRDefault="009D1607" w:rsidP="008570B7">
            <w:pPr>
              <w:spacing w:after="5" w:line="272" w:lineRule="exact"/>
              <w:jc w:val="center"/>
              <w:textAlignment w:val="baseline"/>
              <w:rPr>
                <w:rFonts w:eastAsia="Georgia" w:cs="Arial"/>
                <w:color w:val="000000"/>
                <w:sz w:val="18"/>
                <w:szCs w:val="18"/>
              </w:rPr>
            </w:pPr>
            <w:r w:rsidRPr="00FC4CA4">
              <w:rPr>
                <w:rFonts w:eastAsia="Georgia" w:cs="Arial"/>
                <w:color w:val="000000"/>
                <w:sz w:val="18"/>
                <w:szCs w:val="18"/>
              </w:rPr>
              <w:t>0</w:t>
            </w:r>
          </w:p>
        </w:tc>
        <w:tc>
          <w:tcPr>
            <w:tcW w:w="1440" w:type="dxa"/>
          </w:tcPr>
          <w:p w14:paraId="208B9B23" w14:textId="77777777" w:rsidR="009D1607" w:rsidRPr="00FC4CA4" w:rsidRDefault="009D1607" w:rsidP="008570B7">
            <w:pPr>
              <w:spacing w:after="5" w:line="272" w:lineRule="exact"/>
              <w:ind w:right="76"/>
              <w:jc w:val="center"/>
              <w:textAlignment w:val="baseline"/>
              <w:rPr>
                <w:rFonts w:eastAsia="Georgia" w:cs="Arial"/>
                <w:color w:val="000000"/>
                <w:sz w:val="18"/>
                <w:szCs w:val="18"/>
              </w:rPr>
            </w:pPr>
            <w:r w:rsidRPr="00FC4CA4">
              <w:rPr>
                <w:rFonts w:eastAsia="Georgia" w:cs="Arial"/>
                <w:color w:val="000000"/>
                <w:sz w:val="18"/>
                <w:szCs w:val="18"/>
              </w:rPr>
              <w:t>0</w:t>
            </w:r>
          </w:p>
        </w:tc>
      </w:tr>
      <w:tr w:rsidR="009D1607" w:rsidRPr="00FC4CA4" w14:paraId="6A8A2CFB" w14:textId="77777777" w:rsidTr="009D1607">
        <w:trPr>
          <w:trHeight w:hRule="exact" w:val="283"/>
        </w:trPr>
        <w:tc>
          <w:tcPr>
            <w:tcW w:w="1099" w:type="dxa"/>
          </w:tcPr>
          <w:p w14:paraId="633C9F0F" w14:textId="77777777" w:rsidR="009D1607" w:rsidRPr="00FC4CA4" w:rsidRDefault="009D1607" w:rsidP="008570B7">
            <w:pPr>
              <w:spacing w:after="10" w:line="272" w:lineRule="exact"/>
              <w:ind w:left="105"/>
              <w:jc w:val="center"/>
              <w:textAlignment w:val="baseline"/>
              <w:rPr>
                <w:rFonts w:eastAsia="Georgia" w:cs="Arial"/>
                <w:color w:val="000000"/>
                <w:sz w:val="18"/>
                <w:szCs w:val="18"/>
              </w:rPr>
            </w:pPr>
            <w:r w:rsidRPr="00FC4CA4">
              <w:rPr>
                <w:rFonts w:eastAsia="Georgia" w:cs="Arial"/>
                <w:color w:val="000000"/>
                <w:sz w:val="18"/>
                <w:szCs w:val="18"/>
              </w:rPr>
              <w:t>SCP-10</w:t>
            </w:r>
          </w:p>
        </w:tc>
        <w:tc>
          <w:tcPr>
            <w:tcW w:w="1805" w:type="dxa"/>
          </w:tcPr>
          <w:p w14:paraId="27AEE309" w14:textId="77777777" w:rsidR="009D1607" w:rsidRPr="00FC4CA4" w:rsidRDefault="009D1607" w:rsidP="008570B7">
            <w:pPr>
              <w:spacing w:after="10" w:line="272" w:lineRule="exact"/>
              <w:ind w:left="101"/>
              <w:textAlignment w:val="baseline"/>
              <w:rPr>
                <w:rFonts w:eastAsia="Georgia" w:cs="Arial"/>
                <w:color w:val="000000"/>
                <w:sz w:val="18"/>
                <w:szCs w:val="18"/>
              </w:rPr>
            </w:pPr>
            <w:r w:rsidRPr="00FC4CA4">
              <w:rPr>
                <w:rFonts w:eastAsia="Georgia" w:cs="Arial"/>
                <w:color w:val="000000"/>
                <w:sz w:val="18"/>
                <w:szCs w:val="18"/>
              </w:rPr>
              <w:t>MBT- 1 PW</w:t>
            </w:r>
          </w:p>
        </w:tc>
        <w:tc>
          <w:tcPr>
            <w:tcW w:w="1321" w:type="dxa"/>
          </w:tcPr>
          <w:p w14:paraId="7B4888E9" w14:textId="77777777" w:rsidR="009D1607" w:rsidRPr="00FC4CA4" w:rsidRDefault="009D1607" w:rsidP="008570B7">
            <w:pPr>
              <w:spacing w:line="274" w:lineRule="exact"/>
              <w:jc w:val="center"/>
              <w:textAlignment w:val="baseline"/>
              <w:rPr>
                <w:rFonts w:eastAsia="Times New Roman" w:cs="Arial"/>
                <w:color w:val="000000"/>
                <w:sz w:val="18"/>
                <w:szCs w:val="18"/>
              </w:rPr>
            </w:pPr>
            <w:r w:rsidRPr="00FC4CA4">
              <w:rPr>
                <w:rFonts w:eastAsia="Georgia" w:cs="Arial"/>
                <w:color w:val="000000"/>
                <w:sz w:val="18"/>
                <w:szCs w:val="18"/>
              </w:rPr>
              <w:t>50</w:t>
            </w:r>
          </w:p>
        </w:tc>
        <w:tc>
          <w:tcPr>
            <w:tcW w:w="1709" w:type="dxa"/>
          </w:tcPr>
          <w:p w14:paraId="28B95F23" w14:textId="77777777" w:rsidR="009D1607" w:rsidRPr="00FC4CA4" w:rsidRDefault="009D1607" w:rsidP="008570B7">
            <w:pPr>
              <w:spacing w:after="33" w:line="232" w:lineRule="exact"/>
              <w:jc w:val="center"/>
              <w:textAlignment w:val="baseline"/>
              <w:rPr>
                <w:rFonts w:eastAsia="Georgia" w:cs="Arial"/>
                <w:color w:val="000000"/>
                <w:sz w:val="18"/>
                <w:szCs w:val="18"/>
              </w:rPr>
            </w:pPr>
            <w:r w:rsidRPr="00FC4CA4">
              <w:rPr>
                <w:rFonts w:eastAsia="Georgia" w:cs="Arial"/>
                <w:color w:val="000000"/>
                <w:sz w:val="18"/>
                <w:szCs w:val="18"/>
              </w:rPr>
              <w:t>0.5</w:t>
            </w:r>
          </w:p>
        </w:tc>
        <w:tc>
          <w:tcPr>
            <w:tcW w:w="1413" w:type="dxa"/>
          </w:tcPr>
          <w:p w14:paraId="6A838B5E" w14:textId="77777777" w:rsidR="009D1607" w:rsidRPr="00FC4CA4" w:rsidRDefault="009D1607" w:rsidP="008570B7">
            <w:pPr>
              <w:spacing w:after="33" w:line="232" w:lineRule="exact"/>
              <w:jc w:val="center"/>
              <w:textAlignment w:val="baseline"/>
              <w:rPr>
                <w:rFonts w:eastAsia="Georgia" w:cs="Arial"/>
                <w:color w:val="000000"/>
                <w:sz w:val="18"/>
                <w:szCs w:val="18"/>
              </w:rPr>
            </w:pPr>
            <w:r w:rsidRPr="00FC4CA4">
              <w:rPr>
                <w:rFonts w:eastAsia="Georgia" w:cs="Arial"/>
                <w:color w:val="000000"/>
                <w:sz w:val="18"/>
                <w:szCs w:val="18"/>
              </w:rPr>
              <w:t>0</w:t>
            </w:r>
          </w:p>
        </w:tc>
        <w:tc>
          <w:tcPr>
            <w:tcW w:w="1440" w:type="dxa"/>
          </w:tcPr>
          <w:p w14:paraId="53868431" w14:textId="77777777" w:rsidR="009D1607" w:rsidRPr="00FC4CA4" w:rsidRDefault="009D1607" w:rsidP="008570B7">
            <w:pPr>
              <w:spacing w:after="33" w:line="232" w:lineRule="exact"/>
              <w:ind w:right="76"/>
              <w:jc w:val="center"/>
              <w:textAlignment w:val="baseline"/>
              <w:rPr>
                <w:rFonts w:eastAsia="Georgia" w:cs="Arial"/>
                <w:color w:val="000000"/>
                <w:sz w:val="18"/>
                <w:szCs w:val="18"/>
              </w:rPr>
            </w:pPr>
            <w:r w:rsidRPr="00FC4CA4">
              <w:rPr>
                <w:rFonts w:eastAsia="Georgia" w:cs="Arial"/>
                <w:color w:val="000000"/>
                <w:sz w:val="18"/>
                <w:szCs w:val="18"/>
              </w:rPr>
              <w:t>0</w:t>
            </w:r>
          </w:p>
        </w:tc>
      </w:tr>
      <w:tr w:rsidR="009D1607" w:rsidRPr="00FC4CA4" w14:paraId="117BB2BB" w14:textId="77777777" w:rsidTr="009D1607">
        <w:trPr>
          <w:cnfStyle w:val="000000100000" w:firstRow="0" w:lastRow="0" w:firstColumn="0" w:lastColumn="0" w:oddVBand="0" w:evenVBand="0" w:oddHBand="1" w:evenHBand="0" w:firstRowFirstColumn="0" w:firstRowLastColumn="0" w:lastRowFirstColumn="0" w:lastRowLastColumn="0"/>
          <w:trHeight w:hRule="exact" w:val="283"/>
        </w:trPr>
        <w:tc>
          <w:tcPr>
            <w:tcW w:w="1099" w:type="dxa"/>
          </w:tcPr>
          <w:p w14:paraId="51EC8993" w14:textId="77777777" w:rsidR="009D1607" w:rsidRPr="00FC4CA4" w:rsidRDefault="009D1607" w:rsidP="008570B7">
            <w:pPr>
              <w:spacing w:after="1" w:line="272" w:lineRule="exact"/>
              <w:jc w:val="center"/>
              <w:textAlignment w:val="baseline"/>
              <w:rPr>
                <w:rFonts w:eastAsia="Georgia" w:cs="Arial"/>
                <w:color w:val="000000"/>
                <w:sz w:val="18"/>
                <w:szCs w:val="18"/>
              </w:rPr>
            </w:pPr>
            <w:r w:rsidRPr="00FC4CA4">
              <w:rPr>
                <w:rFonts w:eastAsia="Georgia" w:cs="Arial"/>
                <w:color w:val="000000"/>
                <w:sz w:val="18"/>
                <w:szCs w:val="18"/>
              </w:rPr>
              <w:t>SCP-11</w:t>
            </w:r>
          </w:p>
        </w:tc>
        <w:tc>
          <w:tcPr>
            <w:tcW w:w="1805" w:type="dxa"/>
          </w:tcPr>
          <w:p w14:paraId="7A66B7EC" w14:textId="77777777" w:rsidR="009D1607" w:rsidRPr="00FC4CA4" w:rsidRDefault="009D1607" w:rsidP="008570B7">
            <w:pPr>
              <w:spacing w:after="1" w:line="272" w:lineRule="exact"/>
              <w:ind w:left="101"/>
              <w:textAlignment w:val="baseline"/>
              <w:rPr>
                <w:rFonts w:eastAsia="Georgia" w:cs="Arial"/>
                <w:color w:val="000000"/>
                <w:sz w:val="18"/>
                <w:szCs w:val="18"/>
              </w:rPr>
            </w:pPr>
            <w:r w:rsidRPr="00FC4CA4">
              <w:rPr>
                <w:rFonts w:eastAsia="Georgia" w:cs="Arial"/>
                <w:color w:val="000000"/>
                <w:sz w:val="18"/>
                <w:szCs w:val="18"/>
              </w:rPr>
              <w:t>MBT- 1 P4W</w:t>
            </w:r>
          </w:p>
        </w:tc>
        <w:tc>
          <w:tcPr>
            <w:tcW w:w="1321" w:type="dxa"/>
          </w:tcPr>
          <w:p w14:paraId="51AACBAC" w14:textId="77777777" w:rsidR="009D1607" w:rsidRPr="00FC4CA4" w:rsidRDefault="009D1607" w:rsidP="008570B7">
            <w:pPr>
              <w:spacing w:line="265" w:lineRule="exact"/>
              <w:jc w:val="center"/>
              <w:textAlignment w:val="baseline"/>
              <w:rPr>
                <w:rFonts w:eastAsia="Times New Roman" w:cs="Arial"/>
                <w:color w:val="000000"/>
                <w:sz w:val="18"/>
                <w:szCs w:val="18"/>
              </w:rPr>
            </w:pPr>
            <w:r w:rsidRPr="00FC4CA4">
              <w:rPr>
                <w:rFonts w:eastAsia="Georgia" w:cs="Arial"/>
                <w:color w:val="000000"/>
                <w:sz w:val="18"/>
                <w:szCs w:val="18"/>
              </w:rPr>
              <w:t>10</w:t>
            </w:r>
          </w:p>
        </w:tc>
        <w:tc>
          <w:tcPr>
            <w:tcW w:w="1709" w:type="dxa"/>
          </w:tcPr>
          <w:p w14:paraId="205477E7" w14:textId="77777777" w:rsidR="009D1607" w:rsidRPr="00FC4CA4" w:rsidRDefault="009D1607" w:rsidP="008570B7">
            <w:pPr>
              <w:spacing w:after="24" w:line="232" w:lineRule="exact"/>
              <w:jc w:val="center"/>
              <w:textAlignment w:val="baseline"/>
              <w:rPr>
                <w:rFonts w:eastAsia="Georgia" w:cs="Arial"/>
                <w:color w:val="000000"/>
                <w:sz w:val="18"/>
                <w:szCs w:val="18"/>
              </w:rPr>
            </w:pPr>
            <w:r w:rsidRPr="00FC4CA4">
              <w:rPr>
                <w:rFonts w:eastAsia="Georgia" w:cs="Arial"/>
                <w:color w:val="000000"/>
                <w:sz w:val="18"/>
                <w:szCs w:val="18"/>
              </w:rPr>
              <w:t>0.1</w:t>
            </w:r>
          </w:p>
        </w:tc>
        <w:tc>
          <w:tcPr>
            <w:tcW w:w="1413" w:type="dxa"/>
          </w:tcPr>
          <w:p w14:paraId="63889A67" w14:textId="77777777" w:rsidR="009D1607" w:rsidRPr="00FC4CA4" w:rsidRDefault="009D1607" w:rsidP="008570B7">
            <w:pPr>
              <w:spacing w:after="24" w:line="232" w:lineRule="exact"/>
              <w:jc w:val="center"/>
              <w:textAlignment w:val="baseline"/>
              <w:rPr>
                <w:rFonts w:eastAsia="Georgia" w:cs="Arial"/>
                <w:color w:val="000000"/>
                <w:sz w:val="18"/>
                <w:szCs w:val="18"/>
              </w:rPr>
            </w:pPr>
            <w:r w:rsidRPr="00FC4CA4">
              <w:rPr>
                <w:rFonts w:eastAsia="Georgia" w:cs="Arial"/>
                <w:color w:val="000000"/>
                <w:sz w:val="18"/>
                <w:szCs w:val="18"/>
              </w:rPr>
              <w:t>0</w:t>
            </w:r>
          </w:p>
        </w:tc>
        <w:tc>
          <w:tcPr>
            <w:tcW w:w="1440" w:type="dxa"/>
          </w:tcPr>
          <w:p w14:paraId="0A98582F" w14:textId="77777777" w:rsidR="009D1607" w:rsidRPr="00FC4CA4" w:rsidRDefault="009D1607" w:rsidP="008570B7">
            <w:pPr>
              <w:spacing w:after="24" w:line="232" w:lineRule="exact"/>
              <w:ind w:right="76"/>
              <w:jc w:val="center"/>
              <w:textAlignment w:val="baseline"/>
              <w:rPr>
                <w:rFonts w:eastAsia="Georgia" w:cs="Arial"/>
                <w:color w:val="000000"/>
                <w:sz w:val="18"/>
                <w:szCs w:val="18"/>
              </w:rPr>
            </w:pPr>
            <w:r w:rsidRPr="00FC4CA4">
              <w:rPr>
                <w:rFonts w:eastAsia="Georgia" w:cs="Arial"/>
                <w:color w:val="000000"/>
                <w:sz w:val="18"/>
                <w:szCs w:val="18"/>
              </w:rPr>
              <w:t>0</w:t>
            </w:r>
          </w:p>
        </w:tc>
      </w:tr>
    </w:tbl>
    <w:p w14:paraId="012C1D30" w14:textId="3B6035A1" w:rsidR="009D1607" w:rsidRDefault="009D1607" w:rsidP="00FC4CA4">
      <w:pPr>
        <w:pStyle w:val="TableNote"/>
        <w:spacing w:before="40" w:after="40" w:line="240" w:lineRule="auto"/>
      </w:pPr>
      <w:r>
        <w:t xml:space="preserve">* </w:t>
      </w:r>
      <w:r w:rsidRPr="00A85474">
        <w:t xml:space="preserve">Depending on the </w:t>
      </w:r>
      <w:r w:rsidRPr="009D1607">
        <w:t>length</w:t>
      </w:r>
      <w:r w:rsidRPr="00A85474">
        <w:t xml:space="preserve"> of the winter shutdown, the number of passes/</w:t>
      </w:r>
      <w:proofErr w:type="spellStart"/>
      <w:r w:rsidRPr="00A85474">
        <w:t>yr</w:t>
      </w:r>
      <w:proofErr w:type="spellEnd"/>
      <w:r w:rsidRPr="00A85474">
        <w:t xml:space="preserve"> may be 10 to 15% lower than shown</w:t>
      </w:r>
      <w:r>
        <w:t>.</w:t>
      </w:r>
    </w:p>
    <w:p w14:paraId="74F63DA6" w14:textId="1438D094" w:rsidR="00D243A4" w:rsidRDefault="00D243A4" w:rsidP="00FC4CA4">
      <w:pPr>
        <w:pStyle w:val="TableNote"/>
        <w:spacing w:before="40" w:after="40" w:line="240" w:lineRule="auto"/>
      </w:pPr>
      <w:r>
        <w:t xml:space="preserve">** % removal represents the proportion of the </w:t>
      </w:r>
      <w:r>
        <w:t xml:space="preserve">impervious surface </w:t>
      </w:r>
      <w:r>
        <w:t>unit area load removed</w:t>
      </w:r>
    </w:p>
    <w:p w14:paraId="2CAA1F4C" w14:textId="23BEBAFD" w:rsidR="009D1607" w:rsidRPr="009D1607" w:rsidRDefault="009D1607" w:rsidP="00FC4CA4">
      <w:pPr>
        <w:pStyle w:val="TableNote"/>
        <w:spacing w:before="40" w:after="40" w:line="240" w:lineRule="auto"/>
        <w:rPr>
          <w:rStyle w:val="Heading7Char"/>
          <w:rFonts w:eastAsia="Georgia" w:cstheme="minorBidi"/>
          <w:i w:val="0"/>
          <w:iCs w:val="0"/>
          <w:color w:val="auto"/>
          <w:sz w:val="18"/>
        </w:rPr>
      </w:pPr>
      <w:r w:rsidRPr="009D1607">
        <w:rPr>
          <w:rStyle w:val="Heading7Char"/>
          <w:rFonts w:eastAsia="Georgia" w:cstheme="minorBidi"/>
          <w:i w:val="0"/>
          <w:iCs w:val="0"/>
          <w:color w:val="auto"/>
          <w:sz w:val="18"/>
        </w:rPr>
        <w:t>Table abbreviations:</w:t>
      </w:r>
    </w:p>
    <w:p w14:paraId="53115FC2" w14:textId="4DB288BA" w:rsidR="009D1607" w:rsidRPr="009D1607" w:rsidRDefault="009D1607" w:rsidP="00FC4CA4">
      <w:pPr>
        <w:pStyle w:val="TableNote"/>
        <w:spacing w:before="40" w:after="40" w:line="240" w:lineRule="auto"/>
        <w:rPr>
          <w:rStyle w:val="Heading7Char"/>
          <w:rFonts w:eastAsia="Georgia" w:cstheme="minorBidi"/>
          <w:i w:val="0"/>
          <w:iCs w:val="0"/>
          <w:color w:val="auto"/>
          <w:sz w:val="18"/>
        </w:rPr>
      </w:pPr>
      <w:r w:rsidRPr="009D1607">
        <w:rPr>
          <w:rStyle w:val="Heading7Char"/>
          <w:rFonts w:eastAsia="Georgia" w:cstheme="minorBidi"/>
          <w:i w:val="0"/>
          <w:iCs w:val="0"/>
          <w:color w:val="auto"/>
          <w:sz w:val="18"/>
        </w:rPr>
        <w:t xml:space="preserve">AST: Advanced Sweeping Technology </w:t>
      </w:r>
    </w:p>
    <w:p w14:paraId="5C9366B3" w14:textId="77777777" w:rsidR="009D1607" w:rsidRPr="009D1607" w:rsidRDefault="009D1607" w:rsidP="00FC4CA4">
      <w:pPr>
        <w:pStyle w:val="TableNote"/>
        <w:spacing w:before="40" w:after="40" w:line="240" w:lineRule="auto"/>
        <w:rPr>
          <w:rStyle w:val="Heading7Char"/>
          <w:rFonts w:eastAsia="Georgia" w:cstheme="minorBidi"/>
          <w:i w:val="0"/>
          <w:iCs w:val="0"/>
          <w:color w:val="auto"/>
          <w:sz w:val="18"/>
        </w:rPr>
      </w:pPr>
      <w:r w:rsidRPr="009D1607">
        <w:rPr>
          <w:rStyle w:val="Heading7Char"/>
          <w:rFonts w:eastAsia="Georgia" w:cstheme="minorBidi"/>
          <w:i w:val="0"/>
          <w:iCs w:val="0"/>
          <w:color w:val="auto"/>
          <w:sz w:val="18"/>
        </w:rPr>
        <w:t xml:space="preserve">MBT: Mechanical Broom Technology </w:t>
      </w:r>
    </w:p>
    <w:p w14:paraId="1DD7B6F9" w14:textId="77777777" w:rsidR="009D1607" w:rsidRPr="009D1607" w:rsidRDefault="009D1607" w:rsidP="00FC4CA4">
      <w:pPr>
        <w:pStyle w:val="TableNote"/>
        <w:spacing w:before="40" w:after="40" w:line="240" w:lineRule="auto"/>
        <w:rPr>
          <w:rStyle w:val="Heading7Char"/>
          <w:rFonts w:eastAsia="Georgia" w:cstheme="minorBidi"/>
          <w:i w:val="0"/>
          <w:iCs w:val="0"/>
          <w:color w:val="auto"/>
          <w:sz w:val="18"/>
        </w:rPr>
      </w:pPr>
      <w:r w:rsidRPr="009D1607">
        <w:rPr>
          <w:rStyle w:val="Heading7Char"/>
          <w:rFonts w:eastAsia="Georgia" w:cstheme="minorBidi"/>
          <w:i w:val="0"/>
          <w:iCs w:val="0"/>
          <w:color w:val="auto"/>
          <w:sz w:val="18"/>
        </w:rPr>
        <w:t>2PW: 2 passes per week</w:t>
      </w:r>
    </w:p>
    <w:p w14:paraId="77932F0B" w14:textId="77777777" w:rsidR="009D1607" w:rsidRPr="009D1607" w:rsidRDefault="009D1607" w:rsidP="00FC4CA4">
      <w:pPr>
        <w:pStyle w:val="TableNote"/>
        <w:spacing w:before="40" w:after="40" w:line="240" w:lineRule="auto"/>
        <w:rPr>
          <w:rStyle w:val="Heading7Char"/>
          <w:rFonts w:eastAsia="Georgia" w:cstheme="minorBidi"/>
          <w:i w:val="0"/>
          <w:iCs w:val="0"/>
          <w:color w:val="auto"/>
          <w:sz w:val="18"/>
        </w:rPr>
      </w:pPr>
      <w:r w:rsidRPr="009D1607">
        <w:rPr>
          <w:rStyle w:val="Heading7Char"/>
          <w:rFonts w:eastAsia="Georgia" w:cstheme="minorBidi"/>
          <w:i w:val="0"/>
          <w:iCs w:val="0"/>
          <w:color w:val="auto"/>
          <w:sz w:val="18"/>
        </w:rPr>
        <w:t>1PW: 1 pass every week</w:t>
      </w:r>
    </w:p>
    <w:p w14:paraId="6480A8DD" w14:textId="77777777" w:rsidR="009D1607" w:rsidRPr="009D1607" w:rsidRDefault="009D1607" w:rsidP="00FC4CA4">
      <w:pPr>
        <w:pStyle w:val="TableNote"/>
        <w:spacing w:before="40" w:after="40" w:line="240" w:lineRule="auto"/>
        <w:rPr>
          <w:rStyle w:val="Heading7Char"/>
          <w:rFonts w:eastAsia="Georgia" w:cstheme="minorBidi"/>
          <w:i w:val="0"/>
          <w:iCs w:val="0"/>
          <w:color w:val="auto"/>
          <w:sz w:val="18"/>
        </w:rPr>
      </w:pPr>
      <w:r w:rsidRPr="009D1607">
        <w:rPr>
          <w:rStyle w:val="Heading7Char"/>
          <w:rFonts w:eastAsia="Georgia" w:cstheme="minorBidi"/>
          <w:i w:val="0"/>
          <w:iCs w:val="0"/>
          <w:color w:val="auto"/>
          <w:sz w:val="18"/>
        </w:rPr>
        <w:t>1P2W: 1 pass every 2 weeks</w:t>
      </w:r>
    </w:p>
    <w:p w14:paraId="36DB0778" w14:textId="77777777" w:rsidR="009D1607" w:rsidRPr="009D1607" w:rsidRDefault="009D1607" w:rsidP="00FC4CA4">
      <w:pPr>
        <w:pStyle w:val="TableNote"/>
        <w:spacing w:before="40" w:after="40" w:line="240" w:lineRule="auto"/>
        <w:rPr>
          <w:rStyle w:val="Heading7Char"/>
          <w:rFonts w:eastAsia="Georgia" w:cstheme="minorBidi"/>
          <w:i w:val="0"/>
          <w:iCs w:val="0"/>
          <w:color w:val="auto"/>
          <w:sz w:val="18"/>
        </w:rPr>
      </w:pPr>
      <w:r w:rsidRPr="009D1607">
        <w:rPr>
          <w:rStyle w:val="Heading7Char"/>
          <w:rFonts w:eastAsia="Georgia" w:cstheme="minorBidi"/>
          <w:i w:val="0"/>
          <w:iCs w:val="0"/>
          <w:color w:val="auto"/>
          <w:sz w:val="18"/>
        </w:rPr>
        <w:t>1P4W: 1 pass every 4 weeks</w:t>
      </w:r>
    </w:p>
    <w:p w14:paraId="0BBA50A0" w14:textId="77777777" w:rsidR="009D1607" w:rsidRPr="009D1607" w:rsidRDefault="009D1607" w:rsidP="00FC4CA4">
      <w:pPr>
        <w:pStyle w:val="TableNote"/>
        <w:spacing w:before="40" w:after="40" w:line="240" w:lineRule="auto"/>
        <w:rPr>
          <w:rStyle w:val="Heading7Char"/>
          <w:rFonts w:eastAsia="Georgia" w:cstheme="minorBidi"/>
          <w:i w:val="0"/>
          <w:iCs w:val="0"/>
          <w:color w:val="auto"/>
          <w:sz w:val="18"/>
        </w:rPr>
      </w:pPr>
      <w:r w:rsidRPr="009D1607">
        <w:rPr>
          <w:rStyle w:val="Heading7Char"/>
          <w:rFonts w:eastAsia="Georgia" w:cstheme="minorBidi"/>
          <w:i w:val="0"/>
          <w:iCs w:val="0"/>
          <w:color w:val="auto"/>
          <w:sz w:val="18"/>
        </w:rPr>
        <w:t>1P8W: 1 pass every 8 weeks</w:t>
      </w:r>
    </w:p>
    <w:p w14:paraId="2E2D8810" w14:textId="05B3CF4A" w:rsidR="009D1607" w:rsidRDefault="009D1607" w:rsidP="00FC4CA4">
      <w:pPr>
        <w:pStyle w:val="TableNote"/>
        <w:spacing w:before="40" w:after="40" w:line="240" w:lineRule="auto"/>
      </w:pPr>
      <w:r w:rsidRPr="009D1607">
        <w:rPr>
          <w:rStyle w:val="Heading7Char"/>
          <w:rFonts w:eastAsia="Georgia" w:cstheme="minorBidi"/>
          <w:i w:val="0"/>
          <w:iCs w:val="0"/>
          <w:color w:val="auto"/>
          <w:sz w:val="18"/>
        </w:rPr>
        <w:t>1P12W: 1 pass every 12 weeks</w:t>
      </w:r>
    </w:p>
    <w:p w14:paraId="6A0C10F0" w14:textId="67182F75" w:rsidR="009D1607" w:rsidRDefault="009D1607" w:rsidP="00184896"/>
    <w:p w14:paraId="7674640E" w14:textId="02B27F52" w:rsidR="009D1607" w:rsidRDefault="009D1607" w:rsidP="009D1607">
      <w:pPr>
        <w:rPr>
          <w:rFonts w:eastAsia="Times New Roman"/>
        </w:rPr>
      </w:pPr>
      <w:r>
        <w:t xml:space="preserve">In 2011, an earlier Chesapeake Bay Program expert panel developed two street sweeping crediting methods – mass loading and qualifying </w:t>
      </w:r>
      <w:r w:rsidR="00D243A4">
        <w:t xml:space="preserve">lane </w:t>
      </w:r>
      <w:r>
        <w:t xml:space="preserve">miles.  </w:t>
      </w:r>
      <w:r>
        <w:rPr>
          <w:rFonts w:eastAsia="Times New Roman"/>
        </w:rPr>
        <w:t xml:space="preserve">In 2016, the Chesapeake Bay Program expert panel suggested immediately phasing out both methods of calculating street sweeping credits; however, they are briefly summarized here for completeness. </w:t>
      </w:r>
    </w:p>
    <w:p w14:paraId="6A2F5935" w14:textId="77777777" w:rsidR="009D1607" w:rsidRDefault="009D1607" w:rsidP="009D1607">
      <w:r w:rsidRPr="00941990">
        <w:rPr>
          <w:b/>
        </w:rPr>
        <w:t>Crediting Method:</w:t>
      </w:r>
      <w:r>
        <w:t xml:space="preserve"> Qualifying lane miles</w:t>
      </w:r>
    </w:p>
    <w:p w14:paraId="357E244A" w14:textId="77777777" w:rsidR="009D1607" w:rsidRDefault="009D1607" w:rsidP="009D1607">
      <w:r w:rsidRPr="00941990">
        <w:rPr>
          <w:b/>
        </w:rPr>
        <w:t>Details:</w:t>
      </w:r>
      <w:r>
        <w:t xml:space="preserve"> </w:t>
      </w:r>
      <w:r>
        <w:rPr>
          <w:rFonts w:eastAsia="Times New Roman"/>
        </w:rPr>
        <w:t xml:space="preserve">This method required entities to </w:t>
      </w:r>
      <w:r>
        <w:t>record the number of lane miles swept annually and convert them to total impervious acres. To receive credit for this practice, an enhanced street sweeping program was required. The eligibility requirements included:</w:t>
      </w:r>
    </w:p>
    <w:p w14:paraId="43430326" w14:textId="77777777" w:rsidR="009D1607" w:rsidRDefault="009D1607" w:rsidP="009D1607">
      <w:pPr>
        <w:pStyle w:val="ListParagraph"/>
        <w:numPr>
          <w:ilvl w:val="0"/>
          <w:numId w:val="58"/>
        </w:numPr>
        <w:spacing w:after="0" w:line="240" w:lineRule="auto"/>
        <w:contextualSpacing w:val="0"/>
      </w:pPr>
      <w:r>
        <w:t xml:space="preserve">Urban streets with high average daily traffic volume, </w:t>
      </w:r>
    </w:p>
    <w:p w14:paraId="7CDCA197" w14:textId="77777777" w:rsidR="009D1607" w:rsidRDefault="009D1607" w:rsidP="009D1607">
      <w:pPr>
        <w:pStyle w:val="ListParagraph"/>
        <w:numPr>
          <w:ilvl w:val="0"/>
          <w:numId w:val="58"/>
        </w:numPr>
        <w:spacing w:after="0" w:line="240" w:lineRule="auto"/>
        <w:contextualSpacing w:val="0"/>
      </w:pPr>
      <w:r>
        <w:t>Streets swept 26 times/year, biweekly or concentrated in the spring and fall.</w:t>
      </w:r>
    </w:p>
    <w:p w14:paraId="54107694" w14:textId="77777777" w:rsidR="009D1607" w:rsidRDefault="009D1607" w:rsidP="009D1607"/>
    <w:p w14:paraId="4D6546F4" w14:textId="14CB2045" w:rsidR="009D1607" w:rsidRDefault="009D1607" w:rsidP="009D1607">
      <w:r>
        <w:t>The impervious calculation was 5,280 ft times 10 ft per lane in width divided by 43,560 acre/ft</w:t>
      </w:r>
      <w:r w:rsidRPr="00094BFE">
        <w:rPr>
          <w:vertAlign w:val="superscript"/>
        </w:rPr>
        <w:t>2</w:t>
      </w:r>
      <w:r>
        <w:t xml:space="preserve">. Impervious acres were multiplied by pre-sweeping annual nutrient load using the Simple Method unit loads: 2.0 </w:t>
      </w:r>
      <w:proofErr w:type="spellStart"/>
      <w:r>
        <w:t>lbs</w:t>
      </w:r>
      <w:proofErr w:type="spellEnd"/>
      <w:r>
        <w:t xml:space="preserve">/impervious acre/year TP and 15.4 </w:t>
      </w:r>
      <w:proofErr w:type="spellStart"/>
      <w:r>
        <w:t>lbs</w:t>
      </w:r>
      <w:proofErr w:type="spellEnd"/>
      <w:r>
        <w:t>/</w:t>
      </w:r>
      <w:r w:rsidRPr="001505C9">
        <w:t>impervious acre/year TN. The pre-sweep baseline load</w:t>
      </w:r>
      <w:r w:rsidR="00D243A4">
        <w:t>s</w:t>
      </w:r>
      <w:r w:rsidRPr="001505C9">
        <w:t xml:space="preserve"> </w:t>
      </w:r>
      <w:r w:rsidR="00D243A4">
        <w:t>were</w:t>
      </w:r>
      <w:r w:rsidR="00D243A4" w:rsidRPr="001505C9">
        <w:t xml:space="preserve"> </w:t>
      </w:r>
      <w:r w:rsidRPr="001505C9">
        <w:t xml:space="preserve">multiplied by pickup factors based on sweeper technology, as shown in </w:t>
      </w:r>
      <w:r>
        <w:fldChar w:fldCharType="begin"/>
      </w:r>
      <w:r>
        <w:instrText xml:space="preserve"> REF _Ref7272871 \h </w:instrText>
      </w:r>
      <w:r>
        <w:fldChar w:fldCharType="separate"/>
      </w:r>
      <w:r w:rsidR="00E503E0">
        <w:t xml:space="preserve">Table </w:t>
      </w:r>
      <w:r w:rsidR="00E503E0">
        <w:rPr>
          <w:noProof/>
        </w:rPr>
        <w:t>3</w:t>
      </w:r>
      <w:r>
        <w:fldChar w:fldCharType="end"/>
      </w:r>
      <w:r>
        <w:t>.</w:t>
      </w:r>
      <w:r w:rsidR="00D243A4">
        <w:t xml:space="preserve"> The pickup factors represent percent reductions from the baseline loads.</w:t>
      </w:r>
    </w:p>
    <w:p w14:paraId="6927FCE7" w14:textId="77777777" w:rsidR="00FC4CA4" w:rsidRDefault="00FC4CA4" w:rsidP="009D1607"/>
    <w:p w14:paraId="415FEDFC" w14:textId="6AFFC9BE" w:rsidR="009D1607" w:rsidRPr="001505C9" w:rsidRDefault="009D1607" w:rsidP="009D1607">
      <w:pPr>
        <w:pStyle w:val="Caption"/>
        <w:keepNext/>
      </w:pPr>
      <w:bookmarkStart w:id="5" w:name="_Ref7272871"/>
      <w:r>
        <w:t xml:space="preserve">Table </w:t>
      </w:r>
      <w:r>
        <w:rPr>
          <w:noProof/>
        </w:rPr>
        <w:fldChar w:fldCharType="begin"/>
      </w:r>
      <w:r>
        <w:rPr>
          <w:noProof/>
        </w:rPr>
        <w:instrText xml:space="preserve"> SEQ Table \* ARABIC </w:instrText>
      </w:r>
      <w:r>
        <w:rPr>
          <w:noProof/>
        </w:rPr>
        <w:fldChar w:fldCharType="separate"/>
      </w:r>
      <w:r w:rsidR="00E503E0">
        <w:rPr>
          <w:noProof/>
        </w:rPr>
        <w:t>3</w:t>
      </w:r>
      <w:r>
        <w:rPr>
          <w:noProof/>
        </w:rPr>
        <w:fldChar w:fldCharType="end"/>
      </w:r>
      <w:bookmarkEnd w:id="5"/>
      <w:r>
        <w:t xml:space="preserve">. Efficiency multipliers for street sweeping under qualifying lane miles approach </w:t>
      </w:r>
    </w:p>
    <w:tbl>
      <w:tblPr>
        <w:tblStyle w:val="GridTable4-Accent1"/>
        <w:tblW w:w="0" w:type="auto"/>
        <w:tblLook w:val="04A0" w:firstRow="1" w:lastRow="0" w:firstColumn="1" w:lastColumn="0" w:noHBand="0" w:noVBand="1"/>
      </w:tblPr>
      <w:tblGrid>
        <w:gridCol w:w="2337"/>
        <w:gridCol w:w="2337"/>
        <w:gridCol w:w="2338"/>
        <w:gridCol w:w="2338"/>
      </w:tblGrid>
      <w:tr w:rsidR="009D1607" w:rsidRPr="00FC4CA4" w14:paraId="4F5394E5" w14:textId="77777777" w:rsidTr="008570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839B33E" w14:textId="77777777" w:rsidR="009D1607" w:rsidRPr="00FC4CA4" w:rsidRDefault="009D1607" w:rsidP="008570B7">
            <w:pPr>
              <w:rPr>
                <w:sz w:val="18"/>
              </w:rPr>
            </w:pPr>
            <w:r w:rsidRPr="00FC4CA4">
              <w:rPr>
                <w:sz w:val="18"/>
              </w:rPr>
              <w:t>Technology</w:t>
            </w:r>
          </w:p>
        </w:tc>
        <w:tc>
          <w:tcPr>
            <w:tcW w:w="2337" w:type="dxa"/>
          </w:tcPr>
          <w:p w14:paraId="789E0B11" w14:textId="32A1C504" w:rsidR="009D1607" w:rsidRPr="00FC4CA4" w:rsidRDefault="009D1607" w:rsidP="008570B7">
            <w:pPr>
              <w:cnfStyle w:val="100000000000" w:firstRow="1" w:lastRow="0" w:firstColumn="0" w:lastColumn="0" w:oddVBand="0" w:evenVBand="0" w:oddHBand="0" w:evenHBand="0" w:firstRowFirstColumn="0" w:firstRowLastColumn="0" w:lastRowFirstColumn="0" w:lastRowLastColumn="0"/>
              <w:rPr>
                <w:sz w:val="18"/>
              </w:rPr>
            </w:pPr>
            <w:r w:rsidRPr="00FC4CA4">
              <w:rPr>
                <w:sz w:val="18"/>
              </w:rPr>
              <w:t>TSS</w:t>
            </w:r>
            <w:r w:rsidR="00784534">
              <w:rPr>
                <w:sz w:val="18"/>
              </w:rPr>
              <w:t xml:space="preserve"> (% reduced)</w:t>
            </w:r>
          </w:p>
        </w:tc>
        <w:tc>
          <w:tcPr>
            <w:tcW w:w="2338" w:type="dxa"/>
          </w:tcPr>
          <w:p w14:paraId="621B7832" w14:textId="6B4C4E1A" w:rsidR="009D1607" w:rsidRPr="00FC4CA4" w:rsidRDefault="009D1607" w:rsidP="008570B7">
            <w:pPr>
              <w:cnfStyle w:val="100000000000" w:firstRow="1" w:lastRow="0" w:firstColumn="0" w:lastColumn="0" w:oddVBand="0" w:evenVBand="0" w:oddHBand="0" w:evenHBand="0" w:firstRowFirstColumn="0" w:firstRowLastColumn="0" w:lastRowFirstColumn="0" w:lastRowLastColumn="0"/>
              <w:rPr>
                <w:sz w:val="18"/>
              </w:rPr>
            </w:pPr>
            <w:r w:rsidRPr="00FC4CA4">
              <w:rPr>
                <w:sz w:val="18"/>
              </w:rPr>
              <w:t>TP</w:t>
            </w:r>
            <w:r w:rsidR="00784534">
              <w:rPr>
                <w:sz w:val="18"/>
              </w:rPr>
              <w:t xml:space="preserve"> (% reduced)</w:t>
            </w:r>
          </w:p>
        </w:tc>
        <w:tc>
          <w:tcPr>
            <w:tcW w:w="2338" w:type="dxa"/>
          </w:tcPr>
          <w:p w14:paraId="52DEFB17" w14:textId="3619FFD5" w:rsidR="009D1607" w:rsidRPr="00FC4CA4" w:rsidRDefault="009D1607" w:rsidP="008570B7">
            <w:pPr>
              <w:cnfStyle w:val="100000000000" w:firstRow="1" w:lastRow="0" w:firstColumn="0" w:lastColumn="0" w:oddVBand="0" w:evenVBand="0" w:oddHBand="0" w:evenHBand="0" w:firstRowFirstColumn="0" w:firstRowLastColumn="0" w:lastRowFirstColumn="0" w:lastRowLastColumn="0"/>
              <w:rPr>
                <w:sz w:val="18"/>
              </w:rPr>
            </w:pPr>
            <w:r w:rsidRPr="00FC4CA4">
              <w:rPr>
                <w:sz w:val="18"/>
              </w:rPr>
              <w:t>TN</w:t>
            </w:r>
            <w:r w:rsidR="00784534">
              <w:rPr>
                <w:sz w:val="18"/>
              </w:rPr>
              <w:t xml:space="preserve"> (% reduced)</w:t>
            </w:r>
          </w:p>
        </w:tc>
      </w:tr>
      <w:tr w:rsidR="009D1607" w:rsidRPr="00FC4CA4" w14:paraId="0B1D5F35" w14:textId="77777777" w:rsidTr="0085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483F27A" w14:textId="77777777" w:rsidR="009D1607" w:rsidRPr="00FC4CA4" w:rsidRDefault="009D1607" w:rsidP="008570B7">
            <w:pPr>
              <w:rPr>
                <w:sz w:val="18"/>
              </w:rPr>
            </w:pPr>
            <w:r w:rsidRPr="00FC4CA4">
              <w:rPr>
                <w:sz w:val="18"/>
              </w:rPr>
              <w:t>Mechanical</w:t>
            </w:r>
          </w:p>
        </w:tc>
        <w:tc>
          <w:tcPr>
            <w:tcW w:w="2337" w:type="dxa"/>
          </w:tcPr>
          <w:p w14:paraId="64FA11A1" w14:textId="4FA1A260" w:rsidR="009D1607" w:rsidRPr="00FC4CA4" w:rsidRDefault="00D243A4" w:rsidP="008570B7">
            <w:pPr>
              <w:cnfStyle w:val="000000100000" w:firstRow="0" w:lastRow="0" w:firstColumn="0" w:lastColumn="0" w:oddVBand="0" w:evenVBand="0" w:oddHBand="1" w:evenHBand="0" w:firstRowFirstColumn="0" w:firstRowLastColumn="0" w:lastRowFirstColumn="0" w:lastRowLastColumn="0"/>
              <w:rPr>
                <w:sz w:val="18"/>
              </w:rPr>
            </w:pPr>
            <w:r>
              <w:rPr>
                <w:sz w:val="18"/>
              </w:rPr>
              <w:t>10%</w:t>
            </w:r>
          </w:p>
        </w:tc>
        <w:tc>
          <w:tcPr>
            <w:tcW w:w="2338" w:type="dxa"/>
          </w:tcPr>
          <w:p w14:paraId="68832920" w14:textId="06DF2D45" w:rsidR="009D1607" w:rsidRPr="00FC4CA4" w:rsidRDefault="00D243A4" w:rsidP="008570B7">
            <w:pPr>
              <w:cnfStyle w:val="000000100000" w:firstRow="0" w:lastRow="0" w:firstColumn="0" w:lastColumn="0" w:oddVBand="0" w:evenVBand="0" w:oddHBand="1" w:evenHBand="0" w:firstRowFirstColumn="0" w:firstRowLastColumn="0" w:lastRowFirstColumn="0" w:lastRowLastColumn="0"/>
              <w:rPr>
                <w:sz w:val="18"/>
              </w:rPr>
            </w:pPr>
            <w:r>
              <w:rPr>
                <w:sz w:val="18"/>
              </w:rPr>
              <w:t>4%</w:t>
            </w:r>
          </w:p>
        </w:tc>
        <w:tc>
          <w:tcPr>
            <w:tcW w:w="2338" w:type="dxa"/>
          </w:tcPr>
          <w:p w14:paraId="0ACD9016" w14:textId="3AD8753A" w:rsidR="009D1607" w:rsidRPr="00FC4CA4" w:rsidRDefault="00D243A4" w:rsidP="008570B7">
            <w:pPr>
              <w:cnfStyle w:val="000000100000" w:firstRow="0" w:lastRow="0" w:firstColumn="0" w:lastColumn="0" w:oddVBand="0" w:evenVBand="0" w:oddHBand="1" w:evenHBand="0" w:firstRowFirstColumn="0" w:firstRowLastColumn="0" w:lastRowFirstColumn="0" w:lastRowLastColumn="0"/>
              <w:rPr>
                <w:sz w:val="18"/>
              </w:rPr>
            </w:pPr>
            <w:r>
              <w:rPr>
                <w:sz w:val="18"/>
              </w:rPr>
              <w:t>4%</w:t>
            </w:r>
          </w:p>
        </w:tc>
      </w:tr>
      <w:tr w:rsidR="009D1607" w:rsidRPr="00FC4CA4" w14:paraId="0F0555AB" w14:textId="77777777" w:rsidTr="008570B7">
        <w:tc>
          <w:tcPr>
            <w:cnfStyle w:val="001000000000" w:firstRow="0" w:lastRow="0" w:firstColumn="1" w:lastColumn="0" w:oddVBand="0" w:evenVBand="0" w:oddHBand="0" w:evenHBand="0" w:firstRowFirstColumn="0" w:firstRowLastColumn="0" w:lastRowFirstColumn="0" w:lastRowLastColumn="0"/>
            <w:tcW w:w="2337" w:type="dxa"/>
          </w:tcPr>
          <w:p w14:paraId="00DA251D" w14:textId="77777777" w:rsidR="009D1607" w:rsidRPr="00FC4CA4" w:rsidRDefault="009D1607" w:rsidP="008570B7">
            <w:pPr>
              <w:rPr>
                <w:sz w:val="18"/>
              </w:rPr>
            </w:pPr>
            <w:r w:rsidRPr="00FC4CA4">
              <w:rPr>
                <w:sz w:val="18"/>
              </w:rPr>
              <w:t>Regenerative/Vacuum</w:t>
            </w:r>
          </w:p>
        </w:tc>
        <w:tc>
          <w:tcPr>
            <w:tcW w:w="2337" w:type="dxa"/>
          </w:tcPr>
          <w:p w14:paraId="4BCE6722" w14:textId="1D15FEA6" w:rsidR="009D1607" w:rsidRPr="00FC4CA4" w:rsidRDefault="00D243A4" w:rsidP="008570B7">
            <w:pPr>
              <w:cnfStyle w:val="000000000000" w:firstRow="0" w:lastRow="0" w:firstColumn="0" w:lastColumn="0" w:oddVBand="0" w:evenVBand="0" w:oddHBand="0" w:evenHBand="0" w:firstRowFirstColumn="0" w:firstRowLastColumn="0" w:lastRowFirstColumn="0" w:lastRowLastColumn="0"/>
              <w:rPr>
                <w:sz w:val="18"/>
              </w:rPr>
            </w:pPr>
            <w:r>
              <w:rPr>
                <w:sz w:val="18"/>
              </w:rPr>
              <w:t>25%</w:t>
            </w:r>
          </w:p>
        </w:tc>
        <w:tc>
          <w:tcPr>
            <w:tcW w:w="2338" w:type="dxa"/>
          </w:tcPr>
          <w:p w14:paraId="48575387" w14:textId="6FD6F234" w:rsidR="009D1607" w:rsidRPr="00FC4CA4" w:rsidRDefault="00D243A4" w:rsidP="008570B7">
            <w:pPr>
              <w:cnfStyle w:val="000000000000" w:firstRow="0" w:lastRow="0" w:firstColumn="0" w:lastColumn="0" w:oddVBand="0" w:evenVBand="0" w:oddHBand="0" w:evenHBand="0" w:firstRowFirstColumn="0" w:firstRowLastColumn="0" w:lastRowFirstColumn="0" w:lastRowLastColumn="0"/>
              <w:rPr>
                <w:sz w:val="18"/>
              </w:rPr>
            </w:pPr>
            <w:r>
              <w:rPr>
                <w:sz w:val="18"/>
              </w:rPr>
              <w:t>6%</w:t>
            </w:r>
          </w:p>
        </w:tc>
        <w:tc>
          <w:tcPr>
            <w:tcW w:w="2338" w:type="dxa"/>
          </w:tcPr>
          <w:p w14:paraId="592C2E9E" w14:textId="2416B52B" w:rsidR="009D1607" w:rsidRPr="00FC4CA4" w:rsidRDefault="00D243A4" w:rsidP="008570B7">
            <w:pPr>
              <w:cnfStyle w:val="000000000000" w:firstRow="0" w:lastRow="0" w:firstColumn="0" w:lastColumn="0" w:oddVBand="0" w:evenVBand="0" w:oddHBand="0" w:evenHBand="0" w:firstRowFirstColumn="0" w:firstRowLastColumn="0" w:lastRowFirstColumn="0" w:lastRowLastColumn="0"/>
              <w:rPr>
                <w:sz w:val="18"/>
              </w:rPr>
            </w:pPr>
            <w:r>
              <w:rPr>
                <w:sz w:val="18"/>
              </w:rPr>
              <w:t>5%</w:t>
            </w:r>
          </w:p>
        </w:tc>
      </w:tr>
    </w:tbl>
    <w:p w14:paraId="5AB434AC" w14:textId="77777777" w:rsidR="009D1607" w:rsidRDefault="009D1607" w:rsidP="009D1607">
      <w:pPr>
        <w:spacing w:after="0"/>
      </w:pPr>
    </w:p>
    <w:p w14:paraId="4E558320" w14:textId="16310B44" w:rsidR="009D1607" w:rsidRDefault="009D1607" w:rsidP="009D1607">
      <w:r w:rsidRPr="00BF16CF">
        <w:rPr>
          <w:b/>
        </w:rPr>
        <w:t>Tracking and Reporting:</w:t>
      </w:r>
      <w:r>
        <w:t xml:space="preserve"> Reporting required either the impervious acres </w:t>
      </w:r>
      <w:proofErr w:type="gramStart"/>
      <w:r>
        <w:t>swept</w:t>
      </w:r>
      <w:proofErr w:type="gramEnd"/>
      <w:r>
        <w:t xml:space="preserve"> </w:t>
      </w:r>
      <w:r w:rsidR="00D243A4">
        <w:t xml:space="preserve">or </w:t>
      </w:r>
      <w:r>
        <w:t>annual dry solids mass collected.  Practice verification was not required during the time this credit was used (</w:t>
      </w:r>
      <w:proofErr w:type="spellStart"/>
      <w:r>
        <w:t>Schueler</w:t>
      </w:r>
      <w:proofErr w:type="spellEnd"/>
      <w:r>
        <w:t xml:space="preserve"> 2016). </w:t>
      </w:r>
    </w:p>
    <w:p w14:paraId="419437E5" w14:textId="77777777" w:rsidR="009D1607" w:rsidRDefault="009D1607" w:rsidP="009D1607"/>
    <w:p w14:paraId="6E311ACA" w14:textId="77777777" w:rsidR="009D1607" w:rsidRDefault="009D1607" w:rsidP="009D1607">
      <w:r w:rsidRPr="00941990">
        <w:rPr>
          <w:b/>
        </w:rPr>
        <w:t>Crediting Method:</w:t>
      </w:r>
      <w:r>
        <w:t xml:space="preserve"> Mass loading method</w:t>
      </w:r>
    </w:p>
    <w:p w14:paraId="6CDDA5F9" w14:textId="6A185F00" w:rsidR="009D1607" w:rsidRPr="00BF16CF" w:rsidRDefault="009D1607" w:rsidP="009D1607">
      <w:r w:rsidRPr="00941990">
        <w:rPr>
          <w:b/>
        </w:rPr>
        <w:t>Details:</w:t>
      </w:r>
      <w:r>
        <w:t xml:space="preserve"> This method credited nutrient and sediment reductions based on the</w:t>
      </w:r>
      <w:r>
        <w:rPr>
          <w:rFonts w:eastAsia="Times New Roman"/>
        </w:rPr>
        <w:t xml:space="preserve"> annual wet mass of debris in pounds and required determining the hopper capacity of the sweeper, weighing the street solids collected and developing a relationship between street solid mass in tons </w:t>
      </w:r>
      <w:r w:rsidR="00D243A4">
        <w:rPr>
          <w:rFonts w:eastAsia="Times New Roman"/>
        </w:rPr>
        <w:t xml:space="preserve">and </w:t>
      </w:r>
      <w:r>
        <w:rPr>
          <w:rFonts w:eastAsia="Times New Roman"/>
        </w:rPr>
        <w:t xml:space="preserve">hopper capacity. Records were to be kept </w:t>
      </w:r>
      <w:r w:rsidR="00D243A4">
        <w:rPr>
          <w:rFonts w:eastAsia="Times New Roman"/>
        </w:rPr>
        <w:t xml:space="preserve">by each MS4 </w:t>
      </w:r>
      <w:r>
        <w:rPr>
          <w:rFonts w:eastAsia="Times New Roman"/>
        </w:rPr>
        <w:t xml:space="preserve">on the annual mass of street solids collected from qualifying streets (those swept at least 26 times/year). This mass was multiplied by 0.7 to convert to dry mass, then multiplied by </w:t>
      </w:r>
      <w:r>
        <w:t>0.0025 pounds</w:t>
      </w:r>
      <w:r w:rsidR="00D243A4">
        <w:t xml:space="preserve"> of dry weight</w:t>
      </w:r>
      <w:r>
        <w:t xml:space="preserve"> to calculate total nitrogen, 0.001 pounds </w:t>
      </w:r>
      <w:r w:rsidR="00D243A4">
        <w:t xml:space="preserve">of dry weight </w:t>
      </w:r>
      <w:r>
        <w:t xml:space="preserve">to calculate total phosphorus, and 0.3 pounds </w:t>
      </w:r>
      <w:r w:rsidR="00D243A4">
        <w:t xml:space="preserve">of dry weight </w:t>
      </w:r>
      <w:r>
        <w:t xml:space="preserve">to calculate total suspended solids. </w:t>
      </w:r>
      <w:r w:rsidR="00D243A4">
        <w:t xml:space="preserve">This </w:t>
      </w:r>
      <w:r>
        <w:t xml:space="preserve">correction factor between dry mass solids and TSS is </w:t>
      </w:r>
      <w:r w:rsidR="00D243A4">
        <w:t>to remove</w:t>
      </w:r>
      <w:r w:rsidRPr="00BF16CF">
        <w:t xml:space="preserve"> particles larger than 250 microns, which are too large to be considered TSS</w:t>
      </w:r>
      <w:r w:rsidR="00D243A4">
        <w:t>. The TSS factor</w:t>
      </w:r>
      <w:r w:rsidR="00D243A4">
        <w:t xml:space="preserve"> </w:t>
      </w:r>
      <w:r w:rsidR="00D243A4">
        <w:t xml:space="preserve">is </w:t>
      </w:r>
      <w:r w:rsidR="00D243A4">
        <w:t>based on particle size data from SPU 2009 and Law et al. 2008</w:t>
      </w:r>
      <w:r w:rsidR="00BE7B6D">
        <w:t xml:space="preserve"> (in </w:t>
      </w:r>
      <w:proofErr w:type="spellStart"/>
      <w:r w:rsidR="00BE7B6D">
        <w:t>Schueler</w:t>
      </w:r>
      <w:proofErr w:type="spellEnd"/>
      <w:r w:rsidR="00BE7B6D">
        <w:t xml:space="preserve"> et al 2016)</w:t>
      </w:r>
      <w:r w:rsidR="00D243A4">
        <w:t xml:space="preserve"> showing that only 20-30% for street </w:t>
      </w:r>
      <w:r w:rsidR="00D243A4">
        <w:t>sweeping solids are less than 250 microns</w:t>
      </w:r>
      <w:r>
        <w:t>.</w:t>
      </w:r>
      <w:r w:rsidRPr="00BF16CF">
        <w:t xml:space="preserve"> </w:t>
      </w:r>
    </w:p>
    <w:p w14:paraId="25E19A82" w14:textId="0E35458F" w:rsidR="009D1607" w:rsidRDefault="009D1607" w:rsidP="009D1607">
      <w:r w:rsidRPr="00BF16CF">
        <w:rPr>
          <w:b/>
        </w:rPr>
        <w:t>Tracking and Reporting:</w:t>
      </w:r>
      <w:r w:rsidRPr="00BF16CF">
        <w:t xml:space="preserve"> Pound</w:t>
      </w:r>
      <w:r>
        <w:t>s</w:t>
      </w:r>
      <w:r w:rsidRPr="00BF16CF">
        <w:t xml:space="preserve"> collected were reported to the Chesapeake Bay Program through the states</w:t>
      </w:r>
      <w:r>
        <w:t>’</w:t>
      </w:r>
      <w:r w:rsidRPr="00BF16CF">
        <w:t xml:space="preserve"> annual submissions</w:t>
      </w:r>
      <w:r>
        <w:t>; however, the Chesapeake Bay Program did not provide verification procedures.</w:t>
      </w:r>
    </w:p>
    <w:p w14:paraId="4B5A3E6D" w14:textId="5CFE8C95" w:rsidR="00184896" w:rsidRPr="00184896" w:rsidRDefault="00233B63" w:rsidP="001E4FD0">
      <w:pPr>
        <w:pStyle w:val="Heading2"/>
      </w:pPr>
      <w:r>
        <w:t>Florida Department of Environmental Protection (DEP)</w:t>
      </w:r>
    </w:p>
    <w:p w14:paraId="11C78928" w14:textId="77777777" w:rsidR="00233B63" w:rsidRDefault="00233B63" w:rsidP="00233B63">
      <w:r w:rsidRPr="00941990">
        <w:rPr>
          <w:b/>
        </w:rPr>
        <w:t>Crediting Method:</w:t>
      </w:r>
      <w:r>
        <w:t xml:space="preserve"> Mass loading method</w:t>
      </w:r>
    </w:p>
    <w:p w14:paraId="2EE5786F" w14:textId="77777777" w:rsidR="00233B63" w:rsidRDefault="00233B63" w:rsidP="00233B63">
      <w:r w:rsidRPr="00EB1D22">
        <w:rPr>
          <w:b/>
        </w:rPr>
        <w:t>Applicability:</w:t>
      </w:r>
      <w:r>
        <w:t xml:space="preserve"> Florida MS4s</w:t>
      </w:r>
    </w:p>
    <w:p w14:paraId="3449F6F1" w14:textId="77777777" w:rsidR="00233B63" w:rsidRDefault="00233B63" w:rsidP="00233B63">
      <w:r w:rsidRPr="00941990">
        <w:rPr>
          <w:b/>
        </w:rPr>
        <w:t>Details:</w:t>
      </w:r>
      <w:r>
        <w:t xml:space="preserve"> The Florida DEP MS4 Permit Resource Manual indicates that street sweeping tracking needs to occur to evaluate the effectiveness of the stormwater management program, especially if the MS4 discharges to a waterbody with a TMDL or Basin Management Action Plan (DEP 2013). The sweeping program only applies to streets with curb and gutter. The Florida Stormwater Association developed an MS4 Load Reduction Assessment Tool (Assessment Tool) to estimate the nutrient loads removed from street sweeping, catch basin cleaning and BMP cleanout (FSA 2012). The tool requires the weight or volume of solids removed, so street sweeping material must be measured or weighed. The methodology recommends direct measurement of the weight of a full truck for a year to develop reliable average values for the weight or volume of solids collected, and then allows the use of these data to develop an accurate estimate that will allow the jurisdiction to move to “counting trucks” as a way of tracking the </w:t>
      </w:r>
      <w:proofErr w:type="gramStart"/>
      <w:r>
        <w:t>amount</w:t>
      </w:r>
      <w:proofErr w:type="gramEnd"/>
      <w:r>
        <w:t xml:space="preserve"> of solids collected (Bateman 2012). </w:t>
      </w:r>
    </w:p>
    <w:p w14:paraId="1493535F" w14:textId="77777777" w:rsidR="00233B63" w:rsidRDefault="00233B63" w:rsidP="00233B63">
      <w:r>
        <w:t>Solids are converted to dry solids using default moisture content and dry bulk density values.  However, the default values are only to be used for the first year of permitting. E</w:t>
      </w:r>
      <w:r w:rsidRPr="00707C81">
        <w:t>ach permit group (e.g.</w:t>
      </w:r>
      <w:r>
        <w:t>,</w:t>
      </w:r>
      <w:r w:rsidRPr="00707C81">
        <w:t xml:space="preserve"> Palm Beach County) </w:t>
      </w:r>
      <w:r>
        <w:t xml:space="preserve">is required </w:t>
      </w:r>
      <w:r w:rsidRPr="00707C81">
        <w:t xml:space="preserve">to take monthly samples for moisture content and bulk density for </w:t>
      </w:r>
      <w:r>
        <w:t>at least one year</w:t>
      </w:r>
      <w:r w:rsidRPr="00707C81">
        <w:t xml:space="preserve">. </w:t>
      </w:r>
      <w:r>
        <w:t xml:space="preserve">At least </w:t>
      </w:r>
      <w:r w:rsidRPr="00707C81">
        <w:t>24 samples</w:t>
      </w:r>
      <w:r>
        <w:t>, including replicates,</w:t>
      </w:r>
      <w:r w:rsidRPr="00707C81">
        <w:t xml:space="preserve"> per permit group are needed to develop final </w:t>
      </w:r>
      <w:r>
        <w:t xml:space="preserve">statistically valid </w:t>
      </w:r>
      <w:r w:rsidRPr="00707C81">
        <w:t>values</w:t>
      </w:r>
      <w:r>
        <w:t xml:space="preserve"> for bulk density and moisture content</w:t>
      </w:r>
      <w:r w:rsidRPr="00707C81">
        <w:t>. Monthly sampling results are reported in MS4 annual report</w:t>
      </w:r>
      <w:r>
        <w:t xml:space="preserve">s.  These values then replace the default moisture content and dry bulk density for each permit group. </w:t>
      </w:r>
    </w:p>
    <w:p w14:paraId="72F2127D" w14:textId="77777777" w:rsidR="00233B63" w:rsidRDefault="00233B63" w:rsidP="00233B63">
      <w:r>
        <w:lastRenderedPageBreak/>
        <w:t xml:space="preserve">Once the mass of dry solids is calculated, the Assessment Tool automatically applies the nutrient enrichment values for TN (563 mg/kg) and TP (361 mg/kg) and determines the pounds of TN and TP that were removed for the collection period.  The enrichment values are based on sampling conducted at 14 MS4s throughout Florida on highway, commercial and residential land uses. </w:t>
      </w:r>
    </w:p>
    <w:p w14:paraId="4BBC4157" w14:textId="77777777" w:rsidR="00233B63" w:rsidRDefault="00233B63" w:rsidP="00233B63">
      <w:r w:rsidRPr="00941990">
        <w:rPr>
          <w:b/>
        </w:rPr>
        <w:t>Tracking and Reporting:</w:t>
      </w:r>
      <w:r>
        <w:rPr>
          <w:b/>
        </w:rPr>
        <w:t xml:space="preserve"> </w:t>
      </w:r>
      <w:r w:rsidRPr="007E434D">
        <w:t>The</w:t>
      </w:r>
      <w:r>
        <w:t xml:space="preserve"> FDEP Phase I MS4 Annual Report Form requires the frequency of sweeping, total miles swept, an estimate of the quantity of sweepings collected, and the TN and TP loadings in pounds that were removed </w:t>
      </w:r>
      <w:proofErr w:type="gramStart"/>
      <w:r>
        <w:t>as a result of</w:t>
      </w:r>
      <w:proofErr w:type="gramEnd"/>
      <w:r>
        <w:t xml:space="preserve"> sweeping activities. Each permittee can choose to report in volume or mass (DEP 2004). This is part of the Stormwater Management Program Roadways element of the MS4 annual report. </w:t>
      </w:r>
    </w:p>
    <w:p w14:paraId="42AC52AC" w14:textId="68FD3DF8" w:rsidR="00AE7B75" w:rsidRDefault="00233B63" w:rsidP="00233B63">
      <w:r w:rsidRPr="00424365">
        <w:rPr>
          <w:b/>
        </w:rPr>
        <w:t>Additional Information:</w:t>
      </w:r>
      <w:r>
        <w:rPr>
          <w:b/>
        </w:rPr>
        <w:t xml:space="preserve"> </w:t>
      </w:r>
      <w:r w:rsidRPr="00772190">
        <w:t>Catch basin</w:t>
      </w:r>
      <w:r w:rsidR="00D243A4">
        <w:t xml:space="preserve"> (679 </w:t>
      </w:r>
      <w:r w:rsidR="00D243A4">
        <w:t xml:space="preserve">mg/kg TN, </w:t>
      </w:r>
      <w:r w:rsidR="00D243A4">
        <w:t>417 mg/kg TP</w:t>
      </w:r>
      <w:r w:rsidR="00D243A4">
        <w:t>)</w:t>
      </w:r>
      <w:r w:rsidRPr="00772190">
        <w:t xml:space="preserve"> and BMP cleanout</w:t>
      </w:r>
      <w:r w:rsidR="00D243A4">
        <w:t xml:space="preserve"> (899 mg/kg TN and 364 mg/kg TP)</w:t>
      </w:r>
      <w:r w:rsidRPr="00772190">
        <w:t xml:space="preserve"> nutrient reduction credits are also available</w:t>
      </w:r>
      <w:r>
        <w:t xml:space="preserve"> with Florida-based TN and TP enrichment factors.</w:t>
      </w:r>
    </w:p>
    <w:p w14:paraId="47A174E9" w14:textId="648352FF" w:rsidR="0000059B" w:rsidRPr="001E4FD0" w:rsidRDefault="0000059B" w:rsidP="001E4FD0">
      <w:pPr>
        <w:pStyle w:val="Heading2"/>
      </w:pPr>
      <w:r w:rsidRPr="001E4FD0">
        <w:t>EPA Region 1 - New Hampshire and Massachusetts</w:t>
      </w:r>
    </w:p>
    <w:p w14:paraId="0B03B974" w14:textId="77777777" w:rsidR="0000059B" w:rsidRDefault="0000059B" w:rsidP="0000059B">
      <w:r w:rsidRPr="00941990">
        <w:rPr>
          <w:b/>
        </w:rPr>
        <w:t>Crediting Method:</w:t>
      </w:r>
      <w:r>
        <w:t xml:space="preserve"> Mass load reduction based on efficiency factors </w:t>
      </w:r>
    </w:p>
    <w:p w14:paraId="28EE5C00" w14:textId="77777777" w:rsidR="0000059B" w:rsidRDefault="0000059B" w:rsidP="0000059B">
      <w:r w:rsidRPr="00941990">
        <w:rPr>
          <w:b/>
        </w:rPr>
        <w:t>Applicability:</w:t>
      </w:r>
      <w:r>
        <w:t xml:space="preserve"> New Hampshire and Massachusetts MS4s subject to TMDLs</w:t>
      </w:r>
    </w:p>
    <w:p w14:paraId="5B4C4311" w14:textId="784C332A" w:rsidR="0000059B" w:rsidRDefault="0000059B" w:rsidP="0000059B">
      <w:r w:rsidRPr="00941990">
        <w:rPr>
          <w:b/>
        </w:rPr>
        <w:t>Details:</w:t>
      </w:r>
      <w:r>
        <w:t xml:space="preserve"> EPA Region 1 is the MS4 permitting authority for both New Hampshire and Massachusetts. Enhanced street sweeping crediting applies to MS4 jurisdictions subject to nutrient-related TMDLs or discharging to water quality limited waterbodies and their tributaries where nitrogen or phosphorus is the cause of impairment. Other MS4 permittees are only required to sweep once a year in the spring and report the miles cleaned and volume or mass removed. MS4 permittees that discharge to waterbodies subject to a lake or pond phosphorus TMDL are required to develop a Lake Phosphorus Control Plan that includes planned non-structural controls to contribute to meeting the waste load allocation; an enhanced street/pavement cleaning program is a non-structural control practice eligible for TN and TP reductions (</w:t>
      </w:r>
      <w:r w:rsidR="009F39D0">
        <w:t>US</w:t>
      </w:r>
      <w:r>
        <w:t>EPA 2017a). As part of Good House Keeping and Pollution Prevention, MS4 permittees discharging to a nutrient impaired waterbody must increase street sweeping frequency on municipally owned streets and parking lots to a minimum of two times a year, once in the spring and once in the fall following leaf fall (</w:t>
      </w:r>
      <w:r w:rsidR="009F39D0">
        <w:t>US</w:t>
      </w:r>
      <w:r>
        <w:t xml:space="preserve">EPA 2017b). </w:t>
      </w:r>
    </w:p>
    <w:p w14:paraId="17B5BF91" w14:textId="41FBC248" w:rsidR="0000059B" w:rsidRDefault="0000059B" w:rsidP="0000059B">
      <w:r>
        <w:t>In New Hampshire both TN and TP crediting is available. Massachusetts is limited to TP crediting for TMDLs, but the formula is the same for both states (</w:t>
      </w:r>
      <w:r w:rsidR="009F39D0">
        <w:t>US</w:t>
      </w:r>
      <w:r>
        <w:t xml:space="preserve">EPA 2017a): </w:t>
      </w:r>
    </w:p>
    <w:p w14:paraId="3282CFBB" w14:textId="77777777" w:rsidR="0000059B" w:rsidRDefault="0000059B" w:rsidP="0000059B">
      <w:r w:rsidRPr="00772190">
        <w:rPr>
          <w:b/>
        </w:rPr>
        <w:t>P credit (</w:t>
      </w:r>
      <w:proofErr w:type="spellStart"/>
      <w:r w:rsidRPr="00772190">
        <w:rPr>
          <w:b/>
        </w:rPr>
        <w:t>lbs</w:t>
      </w:r>
      <w:proofErr w:type="spellEnd"/>
      <w:r w:rsidRPr="00772190">
        <w:rPr>
          <w:b/>
        </w:rPr>
        <w:t>/</w:t>
      </w:r>
      <w:proofErr w:type="spellStart"/>
      <w:r w:rsidRPr="00772190">
        <w:rPr>
          <w:b/>
        </w:rPr>
        <w:t>yr</w:t>
      </w:r>
      <w:proofErr w:type="spellEnd"/>
      <w:r w:rsidRPr="00772190">
        <w:rPr>
          <w:b/>
        </w:rPr>
        <w:t>)</w:t>
      </w:r>
      <w:r>
        <w:t xml:space="preserve"> = Impervious area (acres) x P load export rate for impervious cover and specified land use (</w:t>
      </w:r>
      <w:proofErr w:type="spellStart"/>
      <w:r>
        <w:t>lb</w:t>
      </w:r>
      <w:proofErr w:type="spellEnd"/>
      <w:r>
        <w:t>/ac/</w:t>
      </w:r>
      <w:proofErr w:type="spellStart"/>
      <w:r>
        <w:t>yr</w:t>
      </w:r>
      <w:proofErr w:type="spellEnd"/>
      <w:r>
        <w:t>) x P reduction factor based on type and frequency x annual frequency</w:t>
      </w:r>
    </w:p>
    <w:p w14:paraId="5F67F94C" w14:textId="77777777" w:rsidR="0000059B" w:rsidRDefault="0000059B" w:rsidP="0000059B">
      <w:r w:rsidRPr="00772190">
        <w:rPr>
          <w:b/>
        </w:rPr>
        <w:t>N Credit (</w:t>
      </w:r>
      <w:proofErr w:type="spellStart"/>
      <w:r w:rsidRPr="00772190">
        <w:rPr>
          <w:b/>
        </w:rPr>
        <w:t>lbs</w:t>
      </w:r>
      <w:proofErr w:type="spellEnd"/>
      <w:r w:rsidRPr="00772190">
        <w:rPr>
          <w:b/>
        </w:rPr>
        <w:t>/</w:t>
      </w:r>
      <w:proofErr w:type="spellStart"/>
      <w:r w:rsidRPr="00772190">
        <w:rPr>
          <w:b/>
        </w:rPr>
        <w:t>yr</w:t>
      </w:r>
      <w:proofErr w:type="spellEnd"/>
      <w:r w:rsidRPr="00772190">
        <w:rPr>
          <w:b/>
        </w:rPr>
        <w:t>)</w:t>
      </w:r>
      <w:r>
        <w:t xml:space="preserve"> = Impervious area (acres) x N load export rate for impervious cover and specified land use (</w:t>
      </w:r>
      <w:proofErr w:type="spellStart"/>
      <w:r>
        <w:t>lb</w:t>
      </w:r>
      <w:proofErr w:type="spellEnd"/>
      <w:r>
        <w:t>/ac/</w:t>
      </w:r>
      <w:proofErr w:type="spellStart"/>
      <w:r>
        <w:t>yr</w:t>
      </w:r>
      <w:proofErr w:type="spellEnd"/>
      <w:r>
        <w:t>) x N reduction factor based on type and frequency x annual frequency</w:t>
      </w:r>
    </w:p>
    <w:p w14:paraId="32D3B393" w14:textId="440161A2" w:rsidR="0000059B" w:rsidRDefault="0000059B" w:rsidP="0000059B">
      <w:r>
        <w:t xml:space="preserve">EPA provides a table of </w:t>
      </w:r>
      <w:r w:rsidR="00D243A4">
        <w:t xml:space="preserve">13 </w:t>
      </w:r>
      <w:r>
        <w:t xml:space="preserve">land use categories including the distinction between directly connected impervious and pervious land cover, </w:t>
      </w:r>
      <w:r w:rsidR="00D243A4">
        <w:t>with individual</w:t>
      </w:r>
      <w:r>
        <w:t xml:space="preserve"> phosphorus and nitrogen load export rates</w:t>
      </w:r>
      <w:r w:rsidR="00D243A4">
        <w:t xml:space="preserve"> for each land use category</w:t>
      </w:r>
      <w:r w:rsidR="00D243A4">
        <w:t xml:space="preserve"> and land cover combination</w:t>
      </w:r>
      <w:r>
        <w:t>. The P and N reduction factors are based on the frequency of sweeping and the sweeper technology</w:t>
      </w:r>
      <w:r w:rsidR="00DF2FBE">
        <w:t xml:space="preserve"> and are unitless reduction multipliers</w:t>
      </w:r>
      <w:r>
        <w:t xml:space="preserve">. Credit is available for sweeping between 2 times a year and up to weekly.  Credit is provided to mechanical broom, vacuum assisted and high-efficiency regenerative air-vacuum technology at variable rates, as shown in </w:t>
      </w:r>
      <w:r>
        <w:fldChar w:fldCharType="begin"/>
      </w:r>
      <w:r>
        <w:instrText xml:space="preserve"> REF _Ref7284931 \h </w:instrText>
      </w:r>
      <w:r>
        <w:fldChar w:fldCharType="separate"/>
      </w:r>
      <w:r w:rsidR="00E503E0">
        <w:t xml:space="preserve">Table </w:t>
      </w:r>
      <w:r w:rsidR="00E503E0">
        <w:rPr>
          <w:noProof/>
        </w:rPr>
        <w:t>4</w:t>
      </w:r>
      <w:r>
        <w:fldChar w:fldCharType="end"/>
      </w:r>
      <w:r>
        <w:t xml:space="preserve">. The annual frequency is a reduction factor that is applied to represent the portion of the year when sweeping is conducted </w:t>
      </w:r>
      <w:r w:rsidR="008131C7">
        <w:t>(</w:t>
      </w:r>
      <w:r>
        <w:t>e.g.</w:t>
      </w:r>
      <w:r w:rsidR="008131C7">
        <w:t>,</w:t>
      </w:r>
      <w:r>
        <w:t xml:space="preserve"> if sweeping only occurs for 9 months of the year</w:t>
      </w:r>
      <w:r w:rsidR="008131C7">
        <w:t>)</w:t>
      </w:r>
      <w:r>
        <w:t xml:space="preserve"> the annual frequency factor is 0.75 (9 months/12 months = 0.75).</w:t>
      </w:r>
    </w:p>
    <w:p w14:paraId="3BB3F064" w14:textId="089672D2" w:rsidR="001E4FD0" w:rsidRDefault="001E4FD0" w:rsidP="0000059B"/>
    <w:p w14:paraId="0EBF92EC" w14:textId="702460B8" w:rsidR="001E4FD0" w:rsidRDefault="001E4FD0" w:rsidP="0000059B"/>
    <w:p w14:paraId="3E9F77B1" w14:textId="77777777" w:rsidR="001E4FD0" w:rsidRDefault="001E4FD0" w:rsidP="0000059B"/>
    <w:p w14:paraId="7E9CD581" w14:textId="5B674988" w:rsidR="0000059B" w:rsidRDefault="0000059B" w:rsidP="0000059B">
      <w:pPr>
        <w:pStyle w:val="Caption"/>
      </w:pPr>
      <w:bookmarkStart w:id="6" w:name="_Ref7284931"/>
      <w:r>
        <w:t xml:space="preserve">Table </w:t>
      </w:r>
      <w:r>
        <w:rPr>
          <w:noProof/>
        </w:rPr>
        <w:fldChar w:fldCharType="begin"/>
      </w:r>
      <w:r>
        <w:rPr>
          <w:noProof/>
        </w:rPr>
        <w:instrText xml:space="preserve"> SEQ Table \* ARABIC </w:instrText>
      </w:r>
      <w:r>
        <w:rPr>
          <w:noProof/>
        </w:rPr>
        <w:fldChar w:fldCharType="separate"/>
      </w:r>
      <w:r w:rsidR="00E503E0">
        <w:rPr>
          <w:noProof/>
        </w:rPr>
        <w:t>4</w:t>
      </w:r>
      <w:r>
        <w:rPr>
          <w:noProof/>
        </w:rPr>
        <w:fldChar w:fldCharType="end"/>
      </w:r>
      <w:bookmarkEnd w:id="6"/>
      <w:r>
        <w:t>. Region 1 nutrient reduction efficiency factors for sweeping impervious areas (</w:t>
      </w:r>
      <w:r w:rsidR="009F39D0">
        <w:t>US</w:t>
      </w:r>
      <w:r>
        <w:t>EPA 2017a)</w:t>
      </w:r>
    </w:p>
    <w:tbl>
      <w:tblPr>
        <w:tblStyle w:val="GridTable4-Accent1"/>
        <w:tblW w:w="0" w:type="auto"/>
        <w:tblLook w:val="04A0" w:firstRow="1" w:lastRow="0" w:firstColumn="1" w:lastColumn="0" w:noHBand="0" w:noVBand="1"/>
      </w:tblPr>
      <w:tblGrid>
        <w:gridCol w:w="2337"/>
        <w:gridCol w:w="4048"/>
        <w:gridCol w:w="1482"/>
        <w:gridCol w:w="1483"/>
      </w:tblGrid>
      <w:tr w:rsidR="0000059B" w:rsidRPr="001E4FD0" w14:paraId="337327DE" w14:textId="77777777" w:rsidTr="008570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1B7C486" w14:textId="77777777" w:rsidR="0000059B" w:rsidRPr="001E4FD0" w:rsidRDefault="0000059B" w:rsidP="008570B7">
            <w:pPr>
              <w:rPr>
                <w:sz w:val="18"/>
              </w:rPr>
            </w:pPr>
            <w:r w:rsidRPr="001E4FD0">
              <w:rPr>
                <w:sz w:val="18"/>
              </w:rPr>
              <w:t>Frequency</w:t>
            </w:r>
          </w:p>
        </w:tc>
        <w:tc>
          <w:tcPr>
            <w:tcW w:w="4048" w:type="dxa"/>
          </w:tcPr>
          <w:p w14:paraId="61FB42E3" w14:textId="77777777" w:rsidR="0000059B" w:rsidRPr="001E4FD0" w:rsidRDefault="0000059B" w:rsidP="008570B7">
            <w:pPr>
              <w:cnfStyle w:val="100000000000" w:firstRow="1" w:lastRow="0" w:firstColumn="0" w:lastColumn="0" w:oddVBand="0" w:evenVBand="0" w:oddHBand="0" w:evenHBand="0" w:firstRowFirstColumn="0" w:firstRowLastColumn="0" w:lastRowFirstColumn="0" w:lastRowLastColumn="0"/>
              <w:rPr>
                <w:sz w:val="18"/>
              </w:rPr>
            </w:pPr>
            <w:r w:rsidRPr="001E4FD0">
              <w:rPr>
                <w:sz w:val="18"/>
              </w:rPr>
              <w:t>Sweeper Technology</w:t>
            </w:r>
          </w:p>
        </w:tc>
        <w:tc>
          <w:tcPr>
            <w:tcW w:w="1482" w:type="dxa"/>
          </w:tcPr>
          <w:p w14:paraId="7F41E21E" w14:textId="691B5617" w:rsidR="0000059B" w:rsidRPr="001E4FD0" w:rsidRDefault="0000059B" w:rsidP="008570B7">
            <w:pPr>
              <w:jc w:val="center"/>
              <w:cnfStyle w:val="100000000000" w:firstRow="1" w:lastRow="0" w:firstColumn="0" w:lastColumn="0" w:oddVBand="0" w:evenVBand="0" w:oddHBand="0" w:evenHBand="0" w:firstRowFirstColumn="0" w:firstRowLastColumn="0" w:lastRowFirstColumn="0" w:lastRowLastColumn="0"/>
              <w:rPr>
                <w:sz w:val="18"/>
              </w:rPr>
            </w:pPr>
            <w:r w:rsidRPr="001E4FD0">
              <w:rPr>
                <w:sz w:val="18"/>
              </w:rPr>
              <w:t>PRF</w:t>
            </w:r>
            <w:r w:rsidR="00D243A4">
              <w:rPr>
                <w:sz w:val="18"/>
              </w:rPr>
              <w:t>*</w:t>
            </w:r>
          </w:p>
        </w:tc>
        <w:tc>
          <w:tcPr>
            <w:tcW w:w="1483" w:type="dxa"/>
          </w:tcPr>
          <w:p w14:paraId="1D8C8912" w14:textId="58C2AE02" w:rsidR="0000059B" w:rsidRPr="001E4FD0" w:rsidRDefault="0000059B" w:rsidP="008570B7">
            <w:pPr>
              <w:jc w:val="center"/>
              <w:cnfStyle w:val="100000000000" w:firstRow="1" w:lastRow="0" w:firstColumn="0" w:lastColumn="0" w:oddVBand="0" w:evenVBand="0" w:oddHBand="0" w:evenHBand="0" w:firstRowFirstColumn="0" w:firstRowLastColumn="0" w:lastRowFirstColumn="0" w:lastRowLastColumn="0"/>
              <w:rPr>
                <w:sz w:val="18"/>
              </w:rPr>
            </w:pPr>
            <w:r w:rsidRPr="001E4FD0">
              <w:rPr>
                <w:sz w:val="18"/>
              </w:rPr>
              <w:t>NRF</w:t>
            </w:r>
            <w:r w:rsidR="00D243A4">
              <w:rPr>
                <w:sz w:val="18"/>
              </w:rPr>
              <w:t>*</w:t>
            </w:r>
          </w:p>
        </w:tc>
      </w:tr>
      <w:tr w:rsidR="0000059B" w:rsidRPr="001E4FD0" w14:paraId="7282BDB6" w14:textId="77777777" w:rsidTr="0085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3CD4F8E" w14:textId="77777777" w:rsidR="0000059B" w:rsidRPr="001E4FD0" w:rsidRDefault="0000059B" w:rsidP="008570B7">
            <w:pPr>
              <w:rPr>
                <w:sz w:val="18"/>
              </w:rPr>
            </w:pPr>
            <w:r w:rsidRPr="001E4FD0">
              <w:rPr>
                <w:sz w:val="18"/>
              </w:rPr>
              <w:t>2/year (spring and fall)</w:t>
            </w:r>
          </w:p>
        </w:tc>
        <w:tc>
          <w:tcPr>
            <w:tcW w:w="4048" w:type="dxa"/>
          </w:tcPr>
          <w:p w14:paraId="5671E79B" w14:textId="77777777" w:rsidR="0000059B" w:rsidRPr="001E4FD0" w:rsidRDefault="0000059B" w:rsidP="008570B7">
            <w:pPr>
              <w:cnfStyle w:val="000000100000" w:firstRow="0" w:lastRow="0" w:firstColumn="0" w:lastColumn="0" w:oddVBand="0" w:evenVBand="0" w:oddHBand="1" w:evenHBand="0" w:firstRowFirstColumn="0" w:firstRowLastColumn="0" w:lastRowFirstColumn="0" w:lastRowLastColumn="0"/>
              <w:rPr>
                <w:sz w:val="18"/>
              </w:rPr>
            </w:pPr>
            <w:r w:rsidRPr="001E4FD0">
              <w:rPr>
                <w:sz w:val="18"/>
              </w:rPr>
              <w:t>Mechanical Broom</w:t>
            </w:r>
          </w:p>
        </w:tc>
        <w:tc>
          <w:tcPr>
            <w:tcW w:w="1482" w:type="dxa"/>
          </w:tcPr>
          <w:p w14:paraId="6ACF0A29" w14:textId="77777777" w:rsidR="0000059B" w:rsidRPr="001E4FD0" w:rsidRDefault="0000059B" w:rsidP="008570B7">
            <w:pPr>
              <w:jc w:val="center"/>
              <w:cnfStyle w:val="000000100000" w:firstRow="0" w:lastRow="0" w:firstColumn="0" w:lastColumn="0" w:oddVBand="0" w:evenVBand="0" w:oddHBand="1" w:evenHBand="0" w:firstRowFirstColumn="0" w:firstRowLastColumn="0" w:lastRowFirstColumn="0" w:lastRowLastColumn="0"/>
              <w:rPr>
                <w:sz w:val="18"/>
              </w:rPr>
            </w:pPr>
            <w:r w:rsidRPr="001E4FD0">
              <w:rPr>
                <w:sz w:val="18"/>
              </w:rPr>
              <w:t>0.01</w:t>
            </w:r>
          </w:p>
        </w:tc>
        <w:tc>
          <w:tcPr>
            <w:tcW w:w="1483" w:type="dxa"/>
          </w:tcPr>
          <w:p w14:paraId="23C5B378" w14:textId="77777777" w:rsidR="0000059B" w:rsidRPr="001E4FD0" w:rsidRDefault="0000059B" w:rsidP="008570B7">
            <w:pPr>
              <w:jc w:val="center"/>
              <w:cnfStyle w:val="000000100000" w:firstRow="0" w:lastRow="0" w:firstColumn="0" w:lastColumn="0" w:oddVBand="0" w:evenVBand="0" w:oddHBand="1" w:evenHBand="0" w:firstRowFirstColumn="0" w:firstRowLastColumn="0" w:lastRowFirstColumn="0" w:lastRowLastColumn="0"/>
              <w:rPr>
                <w:sz w:val="18"/>
              </w:rPr>
            </w:pPr>
            <w:r w:rsidRPr="001E4FD0">
              <w:rPr>
                <w:sz w:val="18"/>
              </w:rPr>
              <w:t>0.01</w:t>
            </w:r>
          </w:p>
        </w:tc>
      </w:tr>
      <w:tr w:rsidR="0000059B" w:rsidRPr="001E4FD0" w14:paraId="090E6421" w14:textId="77777777" w:rsidTr="008570B7">
        <w:tc>
          <w:tcPr>
            <w:cnfStyle w:val="001000000000" w:firstRow="0" w:lastRow="0" w:firstColumn="1" w:lastColumn="0" w:oddVBand="0" w:evenVBand="0" w:oddHBand="0" w:evenHBand="0" w:firstRowFirstColumn="0" w:firstRowLastColumn="0" w:lastRowFirstColumn="0" w:lastRowLastColumn="0"/>
            <w:tcW w:w="2337" w:type="dxa"/>
          </w:tcPr>
          <w:p w14:paraId="1CB4D506" w14:textId="77777777" w:rsidR="0000059B" w:rsidRPr="001E4FD0" w:rsidRDefault="0000059B" w:rsidP="008570B7">
            <w:pPr>
              <w:rPr>
                <w:sz w:val="18"/>
              </w:rPr>
            </w:pPr>
            <w:r w:rsidRPr="001E4FD0">
              <w:rPr>
                <w:sz w:val="18"/>
              </w:rPr>
              <w:t>2/year (spring and fall)</w:t>
            </w:r>
          </w:p>
        </w:tc>
        <w:tc>
          <w:tcPr>
            <w:tcW w:w="4048" w:type="dxa"/>
          </w:tcPr>
          <w:p w14:paraId="605CFBDA" w14:textId="77777777" w:rsidR="0000059B" w:rsidRPr="001E4FD0" w:rsidRDefault="0000059B" w:rsidP="008570B7">
            <w:pPr>
              <w:cnfStyle w:val="000000000000" w:firstRow="0" w:lastRow="0" w:firstColumn="0" w:lastColumn="0" w:oddVBand="0" w:evenVBand="0" w:oddHBand="0" w:evenHBand="0" w:firstRowFirstColumn="0" w:firstRowLastColumn="0" w:lastRowFirstColumn="0" w:lastRowLastColumn="0"/>
              <w:rPr>
                <w:sz w:val="18"/>
              </w:rPr>
            </w:pPr>
            <w:r w:rsidRPr="001E4FD0">
              <w:rPr>
                <w:sz w:val="18"/>
              </w:rPr>
              <w:t>Vacuum Assisted</w:t>
            </w:r>
          </w:p>
        </w:tc>
        <w:tc>
          <w:tcPr>
            <w:tcW w:w="1482" w:type="dxa"/>
          </w:tcPr>
          <w:p w14:paraId="6A36CEA2" w14:textId="77777777" w:rsidR="0000059B" w:rsidRPr="001E4FD0" w:rsidRDefault="0000059B" w:rsidP="008570B7">
            <w:pPr>
              <w:jc w:val="center"/>
              <w:cnfStyle w:val="000000000000" w:firstRow="0" w:lastRow="0" w:firstColumn="0" w:lastColumn="0" w:oddVBand="0" w:evenVBand="0" w:oddHBand="0" w:evenHBand="0" w:firstRowFirstColumn="0" w:firstRowLastColumn="0" w:lastRowFirstColumn="0" w:lastRowLastColumn="0"/>
              <w:rPr>
                <w:sz w:val="18"/>
              </w:rPr>
            </w:pPr>
            <w:r w:rsidRPr="001E4FD0">
              <w:rPr>
                <w:sz w:val="18"/>
              </w:rPr>
              <w:t>0.02</w:t>
            </w:r>
          </w:p>
        </w:tc>
        <w:tc>
          <w:tcPr>
            <w:tcW w:w="1483" w:type="dxa"/>
          </w:tcPr>
          <w:p w14:paraId="53A20108" w14:textId="77777777" w:rsidR="0000059B" w:rsidRPr="001E4FD0" w:rsidRDefault="0000059B" w:rsidP="008570B7">
            <w:pPr>
              <w:jc w:val="center"/>
              <w:cnfStyle w:val="000000000000" w:firstRow="0" w:lastRow="0" w:firstColumn="0" w:lastColumn="0" w:oddVBand="0" w:evenVBand="0" w:oddHBand="0" w:evenHBand="0" w:firstRowFirstColumn="0" w:firstRowLastColumn="0" w:lastRowFirstColumn="0" w:lastRowLastColumn="0"/>
              <w:rPr>
                <w:sz w:val="18"/>
              </w:rPr>
            </w:pPr>
            <w:r w:rsidRPr="001E4FD0">
              <w:rPr>
                <w:sz w:val="18"/>
              </w:rPr>
              <w:t>0.02</w:t>
            </w:r>
          </w:p>
        </w:tc>
      </w:tr>
      <w:tr w:rsidR="0000059B" w:rsidRPr="001E4FD0" w14:paraId="7E3884D8" w14:textId="77777777" w:rsidTr="0085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823FFC3" w14:textId="77777777" w:rsidR="0000059B" w:rsidRPr="001E4FD0" w:rsidRDefault="0000059B" w:rsidP="008570B7">
            <w:pPr>
              <w:rPr>
                <w:sz w:val="18"/>
              </w:rPr>
            </w:pPr>
            <w:r w:rsidRPr="001E4FD0">
              <w:rPr>
                <w:sz w:val="18"/>
              </w:rPr>
              <w:t>2/year (spring and fall)</w:t>
            </w:r>
          </w:p>
        </w:tc>
        <w:tc>
          <w:tcPr>
            <w:tcW w:w="4048" w:type="dxa"/>
          </w:tcPr>
          <w:p w14:paraId="68179109" w14:textId="77777777" w:rsidR="0000059B" w:rsidRPr="001E4FD0" w:rsidRDefault="0000059B" w:rsidP="008570B7">
            <w:pPr>
              <w:cnfStyle w:val="000000100000" w:firstRow="0" w:lastRow="0" w:firstColumn="0" w:lastColumn="0" w:oddVBand="0" w:evenVBand="0" w:oddHBand="1" w:evenHBand="0" w:firstRowFirstColumn="0" w:firstRowLastColumn="0" w:lastRowFirstColumn="0" w:lastRowLastColumn="0"/>
              <w:rPr>
                <w:sz w:val="18"/>
              </w:rPr>
            </w:pPr>
            <w:r w:rsidRPr="001E4FD0">
              <w:rPr>
                <w:sz w:val="18"/>
              </w:rPr>
              <w:t>High-efficiency Regenerative Air-Vacuum</w:t>
            </w:r>
          </w:p>
        </w:tc>
        <w:tc>
          <w:tcPr>
            <w:tcW w:w="1482" w:type="dxa"/>
          </w:tcPr>
          <w:p w14:paraId="6B24051F" w14:textId="77777777" w:rsidR="0000059B" w:rsidRPr="001E4FD0" w:rsidRDefault="0000059B" w:rsidP="008570B7">
            <w:pPr>
              <w:jc w:val="center"/>
              <w:cnfStyle w:val="000000100000" w:firstRow="0" w:lastRow="0" w:firstColumn="0" w:lastColumn="0" w:oddVBand="0" w:evenVBand="0" w:oddHBand="1" w:evenHBand="0" w:firstRowFirstColumn="0" w:firstRowLastColumn="0" w:lastRowFirstColumn="0" w:lastRowLastColumn="0"/>
              <w:rPr>
                <w:sz w:val="18"/>
              </w:rPr>
            </w:pPr>
            <w:r w:rsidRPr="001E4FD0">
              <w:rPr>
                <w:sz w:val="18"/>
              </w:rPr>
              <w:t>0.02</w:t>
            </w:r>
          </w:p>
        </w:tc>
        <w:tc>
          <w:tcPr>
            <w:tcW w:w="1483" w:type="dxa"/>
          </w:tcPr>
          <w:p w14:paraId="5FE563F5" w14:textId="77777777" w:rsidR="0000059B" w:rsidRPr="001E4FD0" w:rsidRDefault="0000059B" w:rsidP="008570B7">
            <w:pPr>
              <w:jc w:val="center"/>
              <w:cnfStyle w:val="000000100000" w:firstRow="0" w:lastRow="0" w:firstColumn="0" w:lastColumn="0" w:oddVBand="0" w:evenVBand="0" w:oddHBand="1" w:evenHBand="0" w:firstRowFirstColumn="0" w:firstRowLastColumn="0" w:lastRowFirstColumn="0" w:lastRowLastColumn="0"/>
              <w:rPr>
                <w:sz w:val="18"/>
              </w:rPr>
            </w:pPr>
            <w:r w:rsidRPr="001E4FD0">
              <w:rPr>
                <w:sz w:val="18"/>
              </w:rPr>
              <w:t>0.02</w:t>
            </w:r>
          </w:p>
        </w:tc>
      </w:tr>
      <w:tr w:rsidR="0000059B" w:rsidRPr="001E4FD0" w14:paraId="1EE28420" w14:textId="77777777" w:rsidTr="008570B7">
        <w:tc>
          <w:tcPr>
            <w:cnfStyle w:val="001000000000" w:firstRow="0" w:lastRow="0" w:firstColumn="1" w:lastColumn="0" w:oddVBand="0" w:evenVBand="0" w:oddHBand="0" w:evenHBand="0" w:firstRowFirstColumn="0" w:firstRowLastColumn="0" w:lastRowFirstColumn="0" w:lastRowLastColumn="0"/>
            <w:tcW w:w="2337" w:type="dxa"/>
          </w:tcPr>
          <w:p w14:paraId="594D4050" w14:textId="77777777" w:rsidR="0000059B" w:rsidRPr="001E4FD0" w:rsidRDefault="0000059B" w:rsidP="008570B7">
            <w:pPr>
              <w:rPr>
                <w:b w:val="0"/>
                <w:bCs w:val="0"/>
                <w:sz w:val="18"/>
              </w:rPr>
            </w:pPr>
            <w:r w:rsidRPr="001E4FD0">
              <w:rPr>
                <w:sz w:val="18"/>
              </w:rPr>
              <w:t>Monthly</w:t>
            </w:r>
          </w:p>
        </w:tc>
        <w:tc>
          <w:tcPr>
            <w:tcW w:w="4048" w:type="dxa"/>
          </w:tcPr>
          <w:p w14:paraId="03A921FF" w14:textId="77777777" w:rsidR="0000059B" w:rsidRPr="001E4FD0" w:rsidRDefault="0000059B" w:rsidP="008570B7">
            <w:pPr>
              <w:cnfStyle w:val="000000000000" w:firstRow="0" w:lastRow="0" w:firstColumn="0" w:lastColumn="0" w:oddVBand="0" w:evenVBand="0" w:oddHBand="0" w:evenHBand="0" w:firstRowFirstColumn="0" w:firstRowLastColumn="0" w:lastRowFirstColumn="0" w:lastRowLastColumn="0"/>
              <w:rPr>
                <w:sz w:val="18"/>
              </w:rPr>
            </w:pPr>
            <w:r w:rsidRPr="001E4FD0">
              <w:rPr>
                <w:sz w:val="18"/>
              </w:rPr>
              <w:t>Mechanical Broom</w:t>
            </w:r>
          </w:p>
        </w:tc>
        <w:tc>
          <w:tcPr>
            <w:tcW w:w="1482" w:type="dxa"/>
          </w:tcPr>
          <w:p w14:paraId="0A89DA74" w14:textId="77777777" w:rsidR="0000059B" w:rsidRPr="001E4FD0" w:rsidRDefault="0000059B" w:rsidP="008570B7">
            <w:pPr>
              <w:jc w:val="center"/>
              <w:cnfStyle w:val="000000000000" w:firstRow="0" w:lastRow="0" w:firstColumn="0" w:lastColumn="0" w:oddVBand="0" w:evenVBand="0" w:oddHBand="0" w:evenHBand="0" w:firstRowFirstColumn="0" w:firstRowLastColumn="0" w:lastRowFirstColumn="0" w:lastRowLastColumn="0"/>
              <w:rPr>
                <w:sz w:val="18"/>
              </w:rPr>
            </w:pPr>
            <w:r w:rsidRPr="001E4FD0">
              <w:rPr>
                <w:sz w:val="18"/>
              </w:rPr>
              <w:t>0.03</w:t>
            </w:r>
          </w:p>
        </w:tc>
        <w:tc>
          <w:tcPr>
            <w:tcW w:w="1483" w:type="dxa"/>
          </w:tcPr>
          <w:p w14:paraId="658E4B10" w14:textId="77777777" w:rsidR="0000059B" w:rsidRPr="001E4FD0" w:rsidRDefault="0000059B" w:rsidP="008570B7">
            <w:pPr>
              <w:jc w:val="center"/>
              <w:cnfStyle w:val="000000000000" w:firstRow="0" w:lastRow="0" w:firstColumn="0" w:lastColumn="0" w:oddVBand="0" w:evenVBand="0" w:oddHBand="0" w:evenHBand="0" w:firstRowFirstColumn="0" w:firstRowLastColumn="0" w:lastRowFirstColumn="0" w:lastRowLastColumn="0"/>
              <w:rPr>
                <w:sz w:val="18"/>
              </w:rPr>
            </w:pPr>
            <w:r w:rsidRPr="001E4FD0">
              <w:rPr>
                <w:sz w:val="18"/>
              </w:rPr>
              <w:t>0.03</w:t>
            </w:r>
          </w:p>
        </w:tc>
      </w:tr>
      <w:tr w:rsidR="0000059B" w:rsidRPr="001E4FD0" w14:paraId="4845CD10" w14:textId="77777777" w:rsidTr="0085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2F374E5" w14:textId="77777777" w:rsidR="0000059B" w:rsidRPr="001E4FD0" w:rsidRDefault="0000059B" w:rsidP="008570B7">
            <w:pPr>
              <w:rPr>
                <w:sz w:val="18"/>
              </w:rPr>
            </w:pPr>
            <w:r w:rsidRPr="001E4FD0">
              <w:rPr>
                <w:sz w:val="18"/>
              </w:rPr>
              <w:t>Monthly</w:t>
            </w:r>
          </w:p>
        </w:tc>
        <w:tc>
          <w:tcPr>
            <w:tcW w:w="4048" w:type="dxa"/>
          </w:tcPr>
          <w:p w14:paraId="00D87B04" w14:textId="77777777" w:rsidR="0000059B" w:rsidRPr="001E4FD0" w:rsidRDefault="0000059B" w:rsidP="008570B7">
            <w:pPr>
              <w:cnfStyle w:val="000000100000" w:firstRow="0" w:lastRow="0" w:firstColumn="0" w:lastColumn="0" w:oddVBand="0" w:evenVBand="0" w:oddHBand="1" w:evenHBand="0" w:firstRowFirstColumn="0" w:firstRowLastColumn="0" w:lastRowFirstColumn="0" w:lastRowLastColumn="0"/>
              <w:rPr>
                <w:sz w:val="18"/>
              </w:rPr>
            </w:pPr>
            <w:r w:rsidRPr="001E4FD0">
              <w:rPr>
                <w:sz w:val="18"/>
              </w:rPr>
              <w:t>Vacuum Assisted</w:t>
            </w:r>
          </w:p>
        </w:tc>
        <w:tc>
          <w:tcPr>
            <w:tcW w:w="1482" w:type="dxa"/>
          </w:tcPr>
          <w:p w14:paraId="0BF40BD1" w14:textId="77777777" w:rsidR="0000059B" w:rsidRPr="001E4FD0" w:rsidRDefault="0000059B" w:rsidP="008570B7">
            <w:pPr>
              <w:jc w:val="center"/>
              <w:cnfStyle w:val="000000100000" w:firstRow="0" w:lastRow="0" w:firstColumn="0" w:lastColumn="0" w:oddVBand="0" w:evenVBand="0" w:oddHBand="1" w:evenHBand="0" w:firstRowFirstColumn="0" w:firstRowLastColumn="0" w:lastRowFirstColumn="0" w:lastRowLastColumn="0"/>
              <w:rPr>
                <w:sz w:val="18"/>
              </w:rPr>
            </w:pPr>
            <w:r w:rsidRPr="001E4FD0">
              <w:rPr>
                <w:sz w:val="18"/>
              </w:rPr>
              <w:t>0.04</w:t>
            </w:r>
          </w:p>
        </w:tc>
        <w:tc>
          <w:tcPr>
            <w:tcW w:w="1483" w:type="dxa"/>
          </w:tcPr>
          <w:p w14:paraId="2C760FB8" w14:textId="77777777" w:rsidR="0000059B" w:rsidRPr="001E4FD0" w:rsidRDefault="0000059B" w:rsidP="008570B7">
            <w:pPr>
              <w:jc w:val="center"/>
              <w:cnfStyle w:val="000000100000" w:firstRow="0" w:lastRow="0" w:firstColumn="0" w:lastColumn="0" w:oddVBand="0" w:evenVBand="0" w:oddHBand="1" w:evenHBand="0" w:firstRowFirstColumn="0" w:firstRowLastColumn="0" w:lastRowFirstColumn="0" w:lastRowLastColumn="0"/>
              <w:rPr>
                <w:sz w:val="18"/>
              </w:rPr>
            </w:pPr>
            <w:r w:rsidRPr="001E4FD0">
              <w:rPr>
                <w:sz w:val="18"/>
              </w:rPr>
              <w:t>0.04</w:t>
            </w:r>
          </w:p>
        </w:tc>
      </w:tr>
      <w:tr w:rsidR="0000059B" w:rsidRPr="001E4FD0" w14:paraId="055B539D" w14:textId="77777777" w:rsidTr="008570B7">
        <w:tc>
          <w:tcPr>
            <w:cnfStyle w:val="001000000000" w:firstRow="0" w:lastRow="0" w:firstColumn="1" w:lastColumn="0" w:oddVBand="0" w:evenVBand="0" w:oddHBand="0" w:evenHBand="0" w:firstRowFirstColumn="0" w:firstRowLastColumn="0" w:lastRowFirstColumn="0" w:lastRowLastColumn="0"/>
            <w:tcW w:w="2337" w:type="dxa"/>
          </w:tcPr>
          <w:p w14:paraId="38D8BE62" w14:textId="77777777" w:rsidR="0000059B" w:rsidRPr="001E4FD0" w:rsidRDefault="0000059B" w:rsidP="008570B7">
            <w:pPr>
              <w:rPr>
                <w:sz w:val="18"/>
              </w:rPr>
            </w:pPr>
            <w:r w:rsidRPr="001E4FD0">
              <w:rPr>
                <w:sz w:val="18"/>
              </w:rPr>
              <w:t>Monthly</w:t>
            </w:r>
          </w:p>
        </w:tc>
        <w:tc>
          <w:tcPr>
            <w:tcW w:w="4048" w:type="dxa"/>
          </w:tcPr>
          <w:p w14:paraId="6E0C9668" w14:textId="77777777" w:rsidR="0000059B" w:rsidRPr="001E4FD0" w:rsidRDefault="0000059B" w:rsidP="008570B7">
            <w:pPr>
              <w:cnfStyle w:val="000000000000" w:firstRow="0" w:lastRow="0" w:firstColumn="0" w:lastColumn="0" w:oddVBand="0" w:evenVBand="0" w:oddHBand="0" w:evenHBand="0" w:firstRowFirstColumn="0" w:firstRowLastColumn="0" w:lastRowFirstColumn="0" w:lastRowLastColumn="0"/>
              <w:rPr>
                <w:sz w:val="18"/>
              </w:rPr>
            </w:pPr>
            <w:r w:rsidRPr="001E4FD0">
              <w:rPr>
                <w:sz w:val="18"/>
              </w:rPr>
              <w:t>High-efficiency Regenerative Air-Vacuum</w:t>
            </w:r>
          </w:p>
        </w:tc>
        <w:tc>
          <w:tcPr>
            <w:tcW w:w="1482" w:type="dxa"/>
          </w:tcPr>
          <w:p w14:paraId="73F307B1" w14:textId="77777777" w:rsidR="0000059B" w:rsidRPr="001E4FD0" w:rsidRDefault="0000059B" w:rsidP="008570B7">
            <w:pPr>
              <w:jc w:val="center"/>
              <w:cnfStyle w:val="000000000000" w:firstRow="0" w:lastRow="0" w:firstColumn="0" w:lastColumn="0" w:oddVBand="0" w:evenVBand="0" w:oddHBand="0" w:evenHBand="0" w:firstRowFirstColumn="0" w:firstRowLastColumn="0" w:lastRowFirstColumn="0" w:lastRowLastColumn="0"/>
              <w:rPr>
                <w:sz w:val="18"/>
              </w:rPr>
            </w:pPr>
            <w:r w:rsidRPr="001E4FD0">
              <w:rPr>
                <w:sz w:val="18"/>
              </w:rPr>
              <w:t>0.08</w:t>
            </w:r>
          </w:p>
        </w:tc>
        <w:tc>
          <w:tcPr>
            <w:tcW w:w="1483" w:type="dxa"/>
          </w:tcPr>
          <w:p w14:paraId="4D7B1181" w14:textId="77777777" w:rsidR="0000059B" w:rsidRPr="001E4FD0" w:rsidRDefault="0000059B" w:rsidP="008570B7">
            <w:pPr>
              <w:jc w:val="center"/>
              <w:cnfStyle w:val="000000000000" w:firstRow="0" w:lastRow="0" w:firstColumn="0" w:lastColumn="0" w:oddVBand="0" w:evenVBand="0" w:oddHBand="0" w:evenHBand="0" w:firstRowFirstColumn="0" w:firstRowLastColumn="0" w:lastRowFirstColumn="0" w:lastRowLastColumn="0"/>
              <w:rPr>
                <w:sz w:val="18"/>
              </w:rPr>
            </w:pPr>
            <w:r w:rsidRPr="001E4FD0">
              <w:rPr>
                <w:sz w:val="18"/>
              </w:rPr>
              <w:t>0.08</w:t>
            </w:r>
          </w:p>
        </w:tc>
      </w:tr>
      <w:tr w:rsidR="0000059B" w:rsidRPr="001E4FD0" w14:paraId="677BD0D3" w14:textId="77777777" w:rsidTr="0085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BA36808" w14:textId="77777777" w:rsidR="0000059B" w:rsidRPr="001E4FD0" w:rsidRDefault="0000059B" w:rsidP="008570B7">
            <w:pPr>
              <w:rPr>
                <w:sz w:val="18"/>
              </w:rPr>
            </w:pPr>
            <w:r w:rsidRPr="001E4FD0">
              <w:rPr>
                <w:sz w:val="18"/>
              </w:rPr>
              <w:t>Weekly</w:t>
            </w:r>
          </w:p>
        </w:tc>
        <w:tc>
          <w:tcPr>
            <w:tcW w:w="4048" w:type="dxa"/>
          </w:tcPr>
          <w:p w14:paraId="66DAC502" w14:textId="77777777" w:rsidR="0000059B" w:rsidRPr="001E4FD0" w:rsidRDefault="0000059B" w:rsidP="008570B7">
            <w:pPr>
              <w:cnfStyle w:val="000000100000" w:firstRow="0" w:lastRow="0" w:firstColumn="0" w:lastColumn="0" w:oddVBand="0" w:evenVBand="0" w:oddHBand="1" w:evenHBand="0" w:firstRowFirstColumn="0" w:firstRowLastColumn="0" w:lastRowFirstColumn="0" w:lastRowLastColumn="0"/>
              <w:rPr>
                <w:sz w:val="18"/>
              </w:rPr>
            </w:pPr>
            <w:r w:rsidRPr="001E4FD0">
              <w:rPr>
                <w:sz w:val="18"/>
              </w:rPr>
              <w:t>Mechanical Broom</w:t>
            </w:r>
          </w:p>
        </w:tc>
        <w:tc>
          <w:tcPr>
            <w:tcW w:w="1482" w:type="dxa"/>
          </w:tcPr>
          <w:p w14:paraId="71C4D037" w14:textId="77777777" w:rsidR="0000059B" w:rsidRPr="001E4FD0" w:rsidRDefault="0000059B" w:rsidP="008570B7">
            <w:pPr>
              <w:jc w:val="center"/>
              <w:cnfStyle w:val="000000100000" w:firstRow="0" w:lastRow="0" w:firstColumn="0" w:lastColumn="0" w:oddVBand="0" w:evenVBand="0" w:oddHBand="1" w:evenHBand="0" w:firstRowFirstColumn="0" w:firstRowLastColumn="0" w:lastRowFirstColumn="0" w:lastRowLastColumn="0"/>
              <w:rPr>
                <w:sz w:val="18"/>
              </w:rPr>
            </w:pPr>
            <w:r w:rsidRPr="001E4FD0">
              <w:rPr>
                <w:sz w:val="18"/>
              </w:rPr>
              <w:t>0.05</w:t>
            </w:r>
          </w:p>
        </w:tc>
        <w:tc>
          <w:tcPr>
            <w:tcW w:w="1483" w:type="dxa"/>
          </w:tcPr>
          <w:p w14:paraId="2674BCCD" w14:textId="77777777" w:rsidR="0000059B" w:rsidRPr="001E4FD0" w:rsidRDefault="0000059B" w:rsidP="008570B7">
            <w:pPr>
              <w:jc w:val="center"/>
              <w:cnfStyle w:val="000000100000" w:firstRow="0" w:lastRow="0" w:firstColumn="0" w:lastColumn="0" w:oddVBand="0" w:evenVBand="0" w:oddHBand="1" w:evenHBand="0" w:firstRowFirstColumn="0" w:firstRowLastColumn="0" w:lastRowFirstColumn="0" w:lastRowLastColumn="0"/>
              <w:rPr>
                <w:sz w:val="18"/>
              </w:rPr>
            </w:pPr>
            <w:r w:rsidRPr="001E4FD0">
              <w:rPr>
                <w:sz w:val="18"/>
              </w:rPr>
              <w:t>0.06</w:t>
            </w:r>
          </w:p>
        </w:tc>
      </w:tr>
      <w:tr w:rsidR="0000059B" w:rsidRPr="001E4FD0" w14:paraId="24C479E9" w14:textId="77777777" w:rsidTr="008570B7">
        <w:tc>
          <w:tcPr>
            <w:cnfStyle w:val="001000000000" w:firstRow="0" w:lastRow="0" w:firstColumn="1" w:lastColumn="0" w:oddVBand="0" w:evenVBand="0" w:oddHBand="0" w:evenHBand="0" w:firstRowFirstColumn="0" w:firstRowLastColumn="0" w:lastRowFirstColumn="0" w:lastRowLastColumn="0"/>
            <w:tcW w:w="2337" w:type="dxa"/>
          </w:tcPr>
          <w:p w14:paraId="14070C04" w14:textId="77777777" w:rsidR="0000059B" w:rsidRPr="001E4FD0" w:rsidRDefault="0000059B" w:rsidP="008570B7">
            <w:pPr>
              <w:rPr>
                <w:sz w:val="18"/>
              </w:rPr>
            </w:pPr>
            <w:r w:rsidRPr="001E4FD0">
              <w:rPr>
                <w:sz w:val="18"/>
              </w:rPr>
              <w:t>Weekly</w:t>
            </w:r>
          </w:p>
        </w:tc>
        <w:tc>
          <w:tcPr>
            <w:tcW w:w="4048" w:type="dxa"/>
          </w:tcPr>
          <w:p w14:paraId="6D64B55D" w14:textId="77777777" w:rsidR="0000059B" w:rsidRPr="001E4FD0" w:rsidRDefault="0000059B" w:rsidP="008570B7">
            <w:pPr>
              <w:cnfStyle w:val="000000000000" w:firstRow="0" w:lastRow="0" w:firstColumn="0" w:lastColumn="0" w:oddVBand="0" w:evenVBand="0" w:oddHBand="0" w:evenHBand="0" w:firstRowFirstColumn="0" w:firstRowLastColumn="0" w:lastRowFirstColumn="0" w:lastRowLastColumn="0"/>
              <w:rPr>
                <w:sz w:val="18"/>
              </w:rPr>
            </w:pPr>
            <w:r w:rsidRPr="001E4FD0">
              <w:rPr>
                <w:sz w:val="18"/>
              </w:rPr>
              <w:t>Vacuum Assisted</w:t>
            </w:r>
          </w:p>
        </w:tc>
        <w:tc>
          <w:tcPr>
            <w:tcW w:w="1482" w:type="dxa"/>
          </w:tcPr>
          <w:p w14:paraId="4B8EAEAA" w14:textId="77777777" w:rsidR="0000059B" w:rsidRPr="001E4FD0" w:rsidRDefault="0000059B" w:rsidP="008570B7">
            <w:pPr>
              <w:jc w:val="center"/>
              <w:cnfStyle w:val="000000000000" w:firstRow="0" w:lastRow="0" w:firstColumn="0" w:lastColumn="0" w:oddVBand="0" w:evenVBand="0" w:oddHBand="0" w:evenHBand="0" w:firstRowFirstColumn="0" w:firstRowLastColumn="0" w:lastRowFirstColumn="0" w:lastRowLastColumn="0"/>
              <w:rPr>
                <w:sz w:val="18"/>
              </w:rPr>
            </w:pPr>
            <w:r w:rsidRPr="001E4FD0">
              <w:rPr>
                <w:sz w:val="18"/>
              </w:rPr>
              <w:t>0.08</w:t>
            </w:r>
          </w:p>
        </w:tc>
        <w:tc>
          <w:tcPr>
            <w:tcW w:w="1483" w:type="dxa"/>
          </w:tcPr>
          <w:p w14:paraId="3BCF8F97" w14:textId="77777777" w:rsidR="0000059B" w:rsidRPr="001E4FD0" w:rsidRDefault="0000059B" w:rsidP="008570B7">
            <w:pPr>
              <w:jc w:val="center"/>
              <w:cnfStyle w:val="000000000000" w:firstRow="0" w:lastRow="0" w:firstColumn="0" w:lastColumn="0" w:oddVBand="0" w:evenVBand="0" w:oddHBand="0" w:evenHBand="0" w:firstRowFirstColumn="0" w:firstRowLastColumn="0" w:lastRowFirstColumn="0" w:lastRowLastColumn="0"/>
              <w:rPr>
                <w:sz w:val="18"/>
              </w:rPr>
            </w:pPr>
            <w:r w:rsidRPr="001E4FD0">
              <w:rPr>
                <w:sz w:val="18"/>
              </w:rPr>
              <w:t>0.07</w:t>
            </w:r>
          </w:p>
        </w:tc>
      </w:tr>
      <w:tr w:rsidR="0000059B" w:rsidRPr="001E4FD0" w14:paraId="01DCD48C" w14:textId="77777777" w:rsidTr="0085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085A242" w14:textId="77777777" w:rsidR="0000059B" w:rsidRPr="001E4FD0" w:rsidRDefault="0000059B" w:rsidP="008570B7">
            <w:pPr>
              <w:rPr>
                <w:sz w:val="18"/>
              </w:rPr>
            </w:pPr>
            <w:r w:rsidRPr="001E4FD0">
              <w:rPr>
                <w:sz w:val="18"/>
              </w:rPr>
              <w:t>Weekly</w:t>
            </w:r>
          </w:p>
        </w:tc>
        <w:tc>
          <w:tcPr>
            <w:tcW w:w="4048" w:type="dxa"/>
          </w:tcPr>
          <w:p w14:paraId="41AE83CF" w14:textId="77777777" w:rsidR="0000059B" w:rsidRPr="001E4FD0" w:rsidRDefault="0000059B" w:rsidP="008570B7">
            <w:pPr>
              <w:cnfStyle w:val="000000100000" w:firstRow="0" w:lastRow="0" w:firstColumn="0" w:lastColumn="0" w:oddVBand="0" w:evenVBand="0" w:oddHBand="1" w:evenHBand="0" w:firstRowFirstColumn="0" w:firstRowLastColumn="0" w:lastRowFirstColumn="0" w:lastRowLastColumn="0"/>
              <w:rPr>
                <w:sz w:val="18"/>
              </w:rPr>
            </w:pPr>
            <w:r w:rsidRPr="001E4FD0">
              <w:rPr>
                <w:sz w:val="18"/>
              </w:rPr>
              <w:t>High-efficiency Regenerative Air-Vacuum</w:t>
            </w:r>
          </w:p>
        </w:tc>
        <w:tc>
          <w:tcPr>
            <w:tcW w:w="1482" w:type="dxa"/>
          </w:tcPr>
          <w:p w14:paraId="5F038120" w14:textId="77777777" w:rsidR="0000059B" w:rsidRPr="001E4FD0" w:rsidRDefault="0000059B" w:rsidP="008570B7">
            <w:pPr>
              <w:jc w:val="center"/>
              <w:cnfStyle w:val="000000100000" w:firstRow="0" w:lastRow="0" w:firstColumn="0" w:lastColumn="0" w:oddVBand="0" w:evenVBand="0" w:oddHBand="1" w:evenHBand="0" w:firstRowFirstColumn="0" w:firstRowLastColumn="0" w:lastRowFirstColumn="0" w:lastRowLastColumn="0"/>
              <w:rPr>
                <w:sz w:val="18"/>
              </w:rPr>
            </w:pPr>
            <w:r w:rsidRPr="001E4FD0">
              <w:rPr>
                <w:sz w:val="18"/>
              </w:rPr>
              <w:t>0.10</w:t>
            </w:r>
          </w:p>
        </w:tc>
        <w:tc>
          <w:tcPr>
            <w:tcW w:w="1483" w:type="dxa"/>
          </w:tcPr>
          <w:p w14:paraId="247D9C2B" w14:textId="77777777" w:rsidR="0000059B" w:rsidRPr="001E4FD0" w:rsidRDefault="0000059B" w:rsidP="008570B7">
            <w:pPr>
              <w:jc w:val="center"/>
              <w:cnfStyle w:val="000000100000" w:firstRow="0" w:lastRow="0" w:firstColumn="0" w:lastColumn="0" w:oddVBand="0" w:evenVBand="0" w:oddHBand="1" w:evenHBand="0" w:firstRowFirstColumn="0" w:firstRowLastColumn="0" w:lastRowFirstColumn="0" w:lastRowLastColumn="0"/>
              <w:rPr>
                <w:sz w:val="18"/>
              </w:rPr>
            </w:pPr>
            <w:r w:rsidRPr="001E4FD0">
              <w:rPr>
                <w:sz w:val="18"/>
              </w:rPr>
              <w:t>0.10</w:t>
            </w:r>
          </w:p>
        </w:tc>
      </w:tr>
    </w:tbl>
    <w:p w14:paraId="56820A1E" w14:textId="3379C618" w:rsidR="00D243A4" w:rsidRDefault="00D243A4" w:rsidP="0000059B">
      <w:r>
        <w:t xml:space="preserve">*PRF – </w:t>
      </w:r>
      <w:r>
        <w:t>p</w:t>
      </w:r>
      <w:r>
        <w:t xml:space="preserve">hosphorus reduction factor; NRF – </w:t>
      </w:r>
      <w:r>
        <w:t>n</w:t>
      </w:r>
      <w:r>
        <w:t>itrogen reduction factor</w:t>
      </w:r>
    </w:p>
    <w:p w14:paraId="21E2357A" w14:textId="77777777" w:rsidR="0000059B" w:rsidRPr="00A6312A" w:rsidRDefault="0000059B" w:rsidP="0000059B">
      <w:r>
        <w:t>To receive credit, semi-annual sweeping must be conducted following the spring snowmelt and road sand applications and in the fall after leaf-fall and prior to the onset of snow regardless of timing or frequency of other sweeping activities.</w:t>
      </w:r>
    </w:p>
    <w:p w14:paraId="7E2A596A" w14:textId="244C7182" w:rsidR="0000059B" w:rsidRDefault="0000059B" w:rsidP="0000059B">
      <w:r>
        <w:t xml:space="preserve">As an alternative to the crediting described above, a credible model of the watershed that can reflect street sweeping with continuous simulations reflecting buildup and </w:t>
      </w:r>
      <w:proofErr w:type="spellStart"/>
      <w:r>
        <w:t>washoff</w:t>
      </w:r>
      <w:proofErr w:type="spellEnd"/>
      <w:r>
        <w:t xml:space="preserve"> of P and/or N using long-term rainfall data can be used to determine TN and TP removal credits. This alternative is only applicable to New Hampshire (</w:t>
      </w:r>
      <w:r w:rsidR="009F39D0">
        <w:t>US</w:t>
      </w:r>
      <w:r>
        <w:t xml:space="preserve">EPA 2017a). </w:t>
      </w:r>
    </w:p>
    <w:p w14:paraId="39B53E61" w14:textId="7E825301" w:rsidR="0000059B" w:rsidRDefault="0000059B" w:rsidP="0000059B">
      <w:r w:rsidRPr="008836D3">
        <w:rPr>
          <w:b/>
        </w:rPr>
        <w:t xml:space="preserve">Tracking and Reporting: </w:t>
      </w:r>
      <w:r w:rsidRPr="00815475">
        <w:t>Beginning 6 years after the permit effective date</w:t>
      </w:r>
      <w:r>
        <w:t>,</w:t>
      </w:r>
      <w:r w:rsidRPr="00815475">
        <w:t xml:space="preserve"> permit</w:t>
      </w:r>
      <w:r>
        <w:t>t</w:t>
      </w:r>
      <w:r w:rsidRPr="00815475">
        <w:t xml:space="preserve">ees subject to </w:t>
      </w:r>
      <w:r>
        <w:t xml:space="preserve">phosphorus </w:t>
      </w:r>
      <w:r w:rsidRPr="00815475">
        <w:t>TMDL WLAs must include non-structural control measures implemented during the year, along with the associated phosphorus reduction</w:t>
      </w:r>
      <w:r>
        <w:t xml:space="preserve"> in their annual reports (</w:t>
      </w:r>
      <w:r w:rsidR="009F39D0">
        <w:t>US</w:t>
      </w:r>
      <w:r>
        <w:t>EPA 2017a)</w:t>
      </w:r>
      <w:r w:rsidRPr="00815475">
        <w:t>.</w:t>
      </w:r>
      <w:r>
        <w:rPr>
          <w:b/>
        </w:rPr>
        <w:t xml:space="preserve"> </w:t>
      </w:r>
      <w:r w:rsidRPr="006F01AC">
        <w:t>More</w:t>
      </w:r>
      <w:r>
        <w:t xml:space="preserve"> generally, annual reports must include the number of miles cleaned and the volume or mass of material removed (</w:t>
      </w:r>
      <w:r w:rsidR="009F39D0">
        <w:t>US</w:t>
      </w:r>
      <w:r>
        <w:t>EPA 2017c). EPA Region 1 developed the BMP Accounting &amp; Tracking Tool (BATT) for New Hampshire and Massachusetts permittees, which provides watershed based nutrient accounting, tracking and reporting requirements in the MS4 permit (</w:t>
      </w:r>
      <w:r w:rsidR="009F39D0">
        <w:t>US</w:t>
      </w:r>
      <w:r>
        <w:t>EPA 2016). BATT is a spreadsheet tool that calculates the load reductions from BMPs implemented by the permittees, including street sweeping, catch basin cleaning and organic waste/leaf litter collection. It also generates reports of implementation activities and the associated nutrient load reductions to assist in annual reporting requirements and demonstrate compliance with the permit and/or TMDL requirements (</w:t>
      </w:r>
      <w:r w:rsidR="009F39D0">
        <w:t>US</w:t>
      </w:r>
      <w:r>
        <w:t xml:space="preserve">EPA 2016). </w:t>
      </w:r>
    </w:p>
    <w:p w14:paraId="0D925EE3" w14:textId="086172D8" w:rsidR="0000059B" w:rsidRDefault="0000059B" w:rsidP="0000059B">
      <w:r w:rsidRPr="00424365">
        <w:rPr>
          <w:b/>
        </w:rPr>
        <w:t>Additional Information:</w:t>
      </w:r>
      <w:r>
        <w:rPr>
          <w:b/>
        </w:rPr>
        <w:t xml:space="preserve"> </w:t>
      </w:r>
      <w:r w:rsidRPr="00772190">
        <w:t>Catch basin</w:t>
      </w:r>
      <w:r>
        <w:t xml:space="preserve"> cleaning credit is available based </w:t>
      </w:r>
      <w:r w:rsidR="00D243A4">
        <w:t xml:space="preserve">multiplying </w:t>
      </w:r>
      <w:r>
        <w:t xml:space="preserve">the impervious drainage area </w:t>
      </w:r>
      <w:r w:rsidR="00D243A4">
        <w:t xml:space="preserve">times </w:t>
      </w:r>
      <w:r>
        <w:t>the same nutrient load export rates for impervious land uses used for street sweeping</w:t>
      </w:r>
      <w:r w:rsidR="00D243A4">
        <w:t xml:space="preserve"> times t</w:t>
      </w:r>
      <w:r>
        <w:t xml:space="preserve">he catch basin cleaning reduction factors </w:t>
      </w:r>
      <w:r w:rsidR="00D243A4">
        <w:t xml:space="preserve">of </w:t>
      </w:r>
      <w:r>
        <w:t xml:space="preserve">0.02 for phosphorus and 0.06 for nitrogen. </w:t>
      </w:r>
      <w:r w:rsidR="00DF2FBE">
        <w:t xml:space="preserve">Like the street sweeping reduction factors, these are unitless factors applied to the </w:t>
      </w:r>
      <w:r w:rsidR="00DF2FBE">
        <w:t xml:space="preserve">impervious area loading rates to yield a reduction in pounds per year. </w:t>
      </w:r>
      <w:r>
        <w:t xml:space="preserve">There is also an enhanced organic waste and leaf litter collection program credit.  This credit is based on gathering and removing all landscaping wastes, organic debris, and leaf litter from impervious roadways and parking lots at least once a week from September 1 to December 1.  The credit is based on the impervious acres times the nutrient load export rate for the impervious land use times 0.05.  This credit may be achieved through street sweeping and both credits may be counted if the sweeping meets the </w:t>
      </w:r>
      <w:r>
        <w:lastRenderedPageBreak/>
        <w:t>requirements of both the enhanced street sweeping program and the collection program (</w:t>
      </w:r>
      <w:r w:rsidR="009F39D0">
        <w:t>US</w:t>
      </w:r>
      <w:r>
        <w:t>EPA 2017a).</w:t>
      </w:r>
      <w:r w:rsidR="00D243A4">
        <w:t xml:space="preserve"> This may effectively result in double counting of credits</w:t>
      </w:r>
      <w:r w:rsidR="00D243A4">
        <w:t>; however</w:t>
      </w:r>
      <w:r w:rsidR="00EF45EB">
        <w:t>,</w:t>
      </w:r>
      <w:r w:rsidR="00D243A4">
        <w:t xml:space="preserve"> it is explicitly allowed under the </w:t>
      </w:r>
      <w:r w:rsidR="00D243A4">
        <w:t>MS4 permit.</w:t>
      </w:r>
      <w:r w:rsidR="00D243A4">
        <w:t xml:space="preserve"> </w:t>
      </w:r>
    </w:p>
    <w:p w14:paraId="570961D3" w14:textId="7A1B0477" w:rsidR="0000059B" w:rsidRDefault="0000059B" w:rsidP="001E4FD0">
      <w:pPr>
        <w:pStyle w:val="Heading2"/>
      </w:pPr>
      <w:r>
        <w:t>Massachusetts Department of Environmental Protection (MassDEP)</w:t>
      </w:r>
    </w:p>
    <w:p w14:paraId="0EBC1B15" w14:textId="3C2DA14D" w:rsidR="0000059B" w:rsidRDefault="0000059B" w:rsidP="0000059B">
      <w:r w:rsidRPr="00941990">
        <w:rPr>
          <w:b/>
        </w:rPr>
        <w:t>Crediting Method</w:t>
      </w:r>
      <w:r w:rsidRPr="00824BB3">
        <w:rPr>
          <w:b/>
        </w:rPr>
        <w:t>:</w:t>
      </w:r>
      <w:r w:rsidRPr="00824BB3">
        <w:t xml:space="preserve"> Reduction efficiency </w:t>
      </w:r>
    </w:p>
    <w:p w14:paraId="61679F1D" w14:textId="77777777" w:rsidR="0000059B" w:rsidRDefault="0000059B" w:rsidP="0000059B">
      <w:r w:rsidRPr="00941990">
        <w:rPr>
          <w:b/>
        </w:rPr>
        <w:t>Applicability:</w:t>
      </w:r>
      <w:r>
        <w:t xml:space="preserve"> Massachusetts New Development and Redevelopment</w:t>
      </w:r>
    </w:p>
    <w:p w14:paraId="5F4FF4FF" w14:textId="4046D321" w:rsidR="0000059B" w:rsidRDefault="0000059B" w:rsidP="0000059B">
      <w:pPr>
        <w:rPr>
          <w:rFonts w:eastAsia="Times New Roman"/>
        </w:rPr>
      </w:pPr>
      <w:r w:rsidRPr="00941990">
        <w:rPr>
          <w:b/>
        </w:rPr>
        <w:t>Details:</w:t>
      </w:r>
      <w:r>
        <w:rPr>
          <w:b/>
        </w:rPr>
        <w:t xml:space="preserve"> </w:t>
      </w:r>
      <w:r w:rsidRPr="002C18BC">
        <w:t>Separate from the MS4 program</w:t>
      </w:r>
      <w:r>
        <w:t xml:space="preserve"> discussed above</w:t>
      </w:r>
      <w:r w:rsidRPr="002C18BC">
        <w:t>, MassDEP</w:t>
      </w:r>
      <w:r>
        <w:t xml:space="preserve"> maintains stormwater management standards for new development and redevelopment under the state’s Wetlands Protection Act Regulations and Water Quality Certification Regulations that require 80% removal of the average annual post-construction load of TSS (MassDEP 2008a). </w:t>
      </w:r>
      <w:r w:rsidR="004C2196">
        <w:t xml:space="preserve">Nutrients are not addressed. </w:t>
      </w:r>
      <w:r>
        <w:t>Street sweeping is assigned a 0-10%</w:t>
      </w:r>
      <w:r w:rsidR="004C2196">
        <w:t xml:space="preserve"> TSS</w:t>
      </w:r>
      <w:r>
        <w:t xml:space="preserve"> reduction credit depending on the sweeper technology and frequency of sweeping, as shown in </w:t>
      </w:r>
      <w:r>
        <w:fldChar w:fldCharType="begin"/>
      </w:r>
      <w:r>
        <w:instrText xml:space="preserve"> REF _Ref7289961 \h  \* MERGEFORMAT </w:instrText>
      </w:r>
      <w:r>
        <w:fldChar w:fldCharType="separate"/>
      </w:r>
      <w:r w:rsidR="00E503E0">
        <w:t xml:space="preserve">Table </w:t>
      </w:r>
      <w:r w:rsidR="00E503E0">
        <w:rPr>
          <w:noProof/>
        </w:rPr>
        <w:t>5</w:t>
      </w:r>
      <w:r>
        <w:fldChar w:fldCharType="end"/>
      </w:r>
      <w:r>
        <w:t>.</w:t>
      </w:r>
      <w:r w:rsidRPr="003A72D9">
        <w:rPr>
          <w:rFonts w:eastAsia="Times New Roman"/>
        </w:rPr>
        <w:t xml:space="preserve"> </w:t>
      </w:r>
      <w:r>
        <w:rPr>
          <w:rFonts w:eastAsia="Times New Roman"/>
        </w:rPr>
        <w:t xml:space="preserve">If sweeping activities are not conducted in March/April, prior to spring rains, the amount of credit is reduced by </w:t>
      </w:r>
      <w:r w:rsidR="00EB32EB">
        <w:rPr>
          <w:rFonts w:eastAsia="Times New Roman"/>
        </w:rPr>
        <w:t>50%</w:t>
      </w:r>
      <w:r>
        <w:rPr>
          <w:rFonts w:eastAsia="Times New Roman"/>
        </w:rPr>
        <w:t>.</w:t>
      </w:r>
    </w:p>
    <w:p w14:paraId="1976D632" w14:textId="65945917" w:rsidR="0000059B" w:rsidRDefault="0000059B" w:rsidP="0000059B">
      <w:pPr>
        <w:pStyle w:val="Caption"/>
      </w:pPr>
      <w:bookmarkStart w:id="7" w:name="_Ref7289961"/>
      <w:r>
        <w:t xml:space="preserve">Table </w:t>
      </w:r>
      <w:r>
        <w:rPr>
          <w:noProof/>
        </w:rPr>
        <w:fldChar w:fldCharType="begin"/>
      </w:r>
      <w:r>
        <w:rPr>
          <w:noProof/>
        </w:rPr>
        <w:instrText xml:space="preserve"> SEQ Table \* ARABIC </w:instrText>
      </w:r>
      <w:r>
        <w:rPr>
          <w:noProof/>
        </w:rPr>
        <w:fldChar w:fldCharType="separate"/>
      </w:r>
      <w:r w:rsidR="00E503E0">
        <w:rPr>
          <w:noProof/>
        </w:rPr>
        <w:t>5</w:t>
      </w:r>
      <w:r>
        <w:rPr>
          <w:noProof/>
        </w:rPr>
        <w:fldChar w:fldCharType="end"/>
      </w:r>
      <w:bookmarkEnd w:id="7"/>
      <w:r>
        <w:t>. TSS removal credit for street sweeping in new/redevelopment (MassDEP 2008b)</w:t>
      </w:r>
    </w:p>
    <w:tbl>
      <w:tblPr>
        <w:tblStyle w:val="GridTable4-Accent1"/>
        <w:tblW w:w="0" w:type="auto"/>
        <w:tblLook w:val="0420" w:firstRow="1" w:lastRow="0" w:firstColumn="0" w:lastColumn="0" w:noHBand="0" w:noVBand="1"/>
      </w:tblPr>
      <w:tblGrid>
        <w:gridCol w:w="1083"/>
        <w:gridCol w:w="2625"/>
        <w:gridCol w:w="2520"/>
        <w:gridCol w:w="2628"/>
      </w:tblGrid>
      <w:tr w:rsidR="0000059B" w:rsidRPr="001E4FD0" w14:paraId="73BEA7BC" w14:textId="77777777" w:rsidTr="008570B7">
        <w:trPr>
          <w:cnfStyle w:val="100000000000" w:firstRow="1" w:lastRow="0" w:firstColumn="0" w:lastColumn="0" w:oddVBand="0" w:evenVBand="0" w:oddHBand="0" w:evenHBand="0" w:firstRowFirstColumn="0" w:firstRowLastColumn="0" w:lastRowFirstColumn="0" w:lastRowLastColumn="0"/>
        </w:trPr>
        <w:tc>
          <w:tcPr>
            <w:tcW w:w="1083" w:type="dxa"/>
          </w:tcPr>
          <w:p w14:paraId="7F0403CB" w14:textId="77777777" w:rsidR="0000059B" w:rsidRPr="001E4FD0" w:rsidRDefault="0000059B" w:rsidP="0000059B">
            <w:pPr>
              <w:rPr>
                <w:sz w:val="18"/>
              </w:rPr>
            </w:pPr>
            <w:r w:rsidRPr="001E4FD0">
              <w:rPr>
                <w:sz w:val="18"/>
              </w:rPr>
              <w:t>TSS Removal Rate</w:t>
            </w:r>
          </w:p>
        </w:tc>
        <w:tc>
          <w:tcPr>
            <w:tcW w:w="2625" w:type="dxa"/>
          </w:tcPr>
          <w:p w14:paraId="58127576" w14:textId="77777777" w:rsidR="0000059B" w:rsidRPr="001E4FD0" w:rsidRDefault="0000059B" w:rsidP="0000059B">
            <w:pPr>
              <w:rPr>
                <w:sz w:val="18"/>
              </w:rPr>
            </w:pPr>
            <w:r w:rsidRPr="001E4FD0">
              <w:rPr>
                <w:sz w:val="18"/>
              </w:rPr>
              <w:t>High Efficiency Vacuum Sweeper – Frequency of Sweeping</w:t>
            </w:r>
          </w:p>
        </w:tc>
        <w:tc>
          <w:tcPr>
            <w:tcW w:w="2520" w:type="dxa"/>
          </w:tcPr>
          <w:p w14:paraId="57310D4D" w14:textId="77777777" w:rsidR="0000059B" w:rsidRPr="001E4FD0" w:rsidRDefault="0000059B" w:rsidP="0000059B">
            <w:pPr>
              <w:rPr>
                <w:sz w:val="18"/>
              </w:rPr>
            </w:pPr>
            <w:r w:rsidRPr="001E4FD0">
              <w:rPr>
                <w:sz w:val="18"/>
              </w:rPr>
              <w:t>Regenerative Air Sweeper – Frequency of Sweeping</w:t>
            </w:r>
          </w:p>
        </w:tc>
        <w:tc>
          <w:tcPr>
            <w:tcW w:w="2628" w:type="dxa"/>
          </w:tcPr>
          <w:p w14:paraId="0FD83039" w14:textId="77777777" w:rsidR="0000059B" w:rsidRPr="001E4FD0" w:rsidRDefault="0000059B" w:rsidP="0000059B">
            <w:pPr>
              <w:rPr>
                <w:sz w:val="18"/>
              </w:rPr>
            </w:pPr>
            <w:r w:rsidRPr="001E4FD0">
              <w:rPr>
                <w:sz w:val="18"/>
              </w:rPr>
              <w:t>Mechanical Sweeper (Rotary Broom)</w:t>
            </w:r>
          </w:p>
        </w:tc>
      </w:tr>
      <w:tr w:rsidR="0000059B" w:rsidRPr="001E4FD0" w14:paraId="7BABAA73" w14:textId="77777777" w:rsidTr="008570B7">
        <w:trPr>
          <w:cnfStyle w:val="000000100000" w:firstRow="0" w:lastRow="0" w:firstColumn="0" w:lastColumn="0" w:oddVBand="0" w:evenVBand="0" w:oddHBand="1" w:evenHBand="0" w:firstRowFirstColumn="0" w:firstRowLastColumn="0" w:lastRowFirstColumn="0" w:lastRowLastColumn="0"/>
        </w:trPr>
        <w:tc>
          <w:tcPr>
            <w:tcW w:w="1083" w:type="dxa"/>
          </w:tcPr>
          <w:p w14:paraId="7435DDDD" w14:textId="77777777" w:rsidR="0000059B" w:rsidRPr="001E4FD0" w:rsidRDefault="0000059B" w:rsidP="0000059B">
            <w:pPr>
              <w:rPr>
                <w:sz w:val="18"/>
              </w:rPr>
            </w:pPr>
            <w:r w:rsidRPr="001E4FD0">
              <w:rPr>
                <w:sz w:val="18"/>
              </w:rPr>
              <w:t>10%</w:t>
            </w:r>
          </w:p>
        </w:tc>
        <w:tc>
          <w:tcPr>
            <w:tcW w:w="2625" w:type="dxa"/>
          </w:tcPr>
          <w:p w14:paraId="518D702E" w14:textId="77777777" w:rsidR="0000059B" w:rsidRPr="001E4FD0" w:rsidRDefault="0000059B" w:rsidP="0000059B">
            <w:pPr>
              <w:rPr>
                <w:sz w:val="18"/>
              </w:rPr>
            </w:pPr>
            <w:r w:rsidRPr="001E4FD0">
              <w:rPr>
                <w:sz w:val="18"/>
              </w:rPr>
              <w:t xml:space="preserve">Monthly Average, with sweeping scheduled primarily in spring and fall. </w:t>
            </w:r>
          </w:p>
        </w:tc>
        <w:tc>
          <w:tcPr>
            <w:tcW w:w="2520" w:type="dxa"/>
          </w:tcPr>
          <w:p w14:paraId="3A156928" w14:textId="77777777" w:rsidR="0000059B" w:rsidRPr="001E4FD0" w:rsidRDefault="0000059B" w:rsidP="0000059B">
            <w:pPr>
              <w:rPr>
                <w:sz w:val="18"/>
              </w:rPr>
            </w:pPr>
            <w:r w:rsidRPr="001E4FD0">
              <w:rPr>
                <w:sz w:val="18"/>
              </w:rPr>
              <w:t>Every 2 Weeks Average, with sweeping scheduled primarily in spring and fall.</w:t>
            </w:r>
          </w:p>
        </w:tc>
        <w:tc>
          <w:tcPr>
            <w:tcW w:w="2628" w:type="dxa"/>
          </w:tcPr>
          <w:p w14:paraId="626FF234" w14:textId="77777777" w:rsidR="0000059B" w:rsidRPr="001E4FD0" w:rsidRDefault="0000059B" w:rsidP="0000059B">
            <w:pPr>
              <w:rPr>
                <w:sz w:val="18"/>
              </w:rPr>
            </w:pPr>
            <w:r w:rsidRPr="001E4FD0">
              <w:rPr>
                <w:sz w:val="18"/>
              </w:rPr>
              <w:t>Weekly Average, with sweeping scheduled primarily in spring and fall.</w:t>
            </w:r>
          </w:p>
        </w:tc>
      </w:tr>
      <w:tr w:rsidR="0000059B" w:rsidRPr="001E4FD0" w14:paraId="79E71F95" w14:textId="77777777" w:rsidTr="008570B7">
        <w:tc>
          <w:tcPr>
            <w:tcW w:w="1083" w:type="dxa"/>
          </w:tcPr>
          <w:p w14:paraId="03B6FDC2" w14:textId="77777777" w:rsidR="0000059B" w:rsidRPr="001E4FD0" w:rsidRDefault="0000059B" w:rsidP="0000059B">
            <w:pPr>
              <w:rPr>
                <w:sz w:val="18"/>
              </w:rPr>
            </w:pPr>
            <w:r w:rsidRPr="001E4FD0">
              <w:rPr>
                <w:sz w:val="18"/>
              </w:rPr>
              <w:t>5%</w:t>
            </w:r>
          </w:p>
        </w:tc>
        <w:tc>
          <w:tcPr>
            <w:tcW w:w="2625" w:type="dxa"/>
          </w:tcPr>
          <w:p w14:paraId="1E31B83F" w14:textId="77777777" w:rsidR="0000059B" w:rsidRPr="001E4FD0" w:rsidRDefault="0000059B" w:rsidP="0000059B">
            <w:pPr>
              <w:rPr>
                <w:sz w:val="18"/>
              </w:rPr>
            </w:pPr>
            <w:r w:rsidRPr="001E4FD0">
              <w:rPr>
                <w:sz w:val="18"/>
              </w:rPr>
              <w:t>Quarterly Average, with sweeping scheduled primarily in spring and fall.</w:t>
            </w:r>
          </w:p>
        </w:tc>
        <w:tc>
          <w:tcPr>
            <w:tcW w:w="2520" w:type="dxa"/>
          </w:tcPr>
          <w:p w14:paraId="74760846" w14:textId="77777777" w:rsidR="0000059B" w:rsidRPr="001E4FD0" w:rsidRDefault="0000059B" w:rsidP="0000059B">
            <w:pPr>
              <w:rPr>
                <w:sz w:val="18"/>
              </w:rPr>
            </w:pPr>
            <w:r w:rsidRPr="001E4FD0">
              <w:rPr>
                <w:sz w:val="18"/>
              </w:rPr>
              <w:t>Quarterly Average, with sweeping scheduled primarily in spring and fall.</w:t>
            </w:r>
          </w:p>
        </w:tc>
        <w:tc>
          <w:tcPr>
            <w:tcW w:w="2628" w:type="dxa"/>
          </w:tcPr>
          <w:p w14:paraId="6F2858E4" w14:textId="77777777" w:rsidR="0000059B" w:rsidRPr="001E4FD0" w:rsidRDefault="0000059B" w:rsidP="0000059B">
            <w:pPr>
              <w:rPr>
                <w:sz w:val="18"/>
              </w:rPr>
            </w:pPr>
            <w:r w:rsidRPr="001E4FD0">
              <w:rPr>
                <w:sz w:val="18"/>
              </w:rPr>
              <w:t xml:space="preserve">Monthly Average, with sweeping scheduled primarily in spring and fall. </w:t>
            </w:r>
          </w:p>
        </w:tc>
      </w:tr>
      <w:tr w:rsidR="0000059B" w:rsidRPr="001E4FD0" w14:paraId="550E6549" w14:textId="77777777" w:rsidTr="008570B7">
        <w:trPr>
          <w:cnfStyle w:val="000000100000" w:firstRow="0" w:lastRow="0" w:firstColumn="0" w:lastColumn="0" w:oddVBand="0" w:evenVBand="0" w:oddHBand="1" w:evenHBand="0" w:firstRowFirstColumn="0" w:firstRowLastColumn="0" w:lastRowFirstColumn="0" w:lastRowLastColumn="0"/>
        </w:trPr>
        <w:tc>
          <w:tcPr>
            <w:tcW w:w="1083" w:type="dxa"/>
          </w:tcPr>
          <w:p w14:paraId="32B3819A" w14:textId="77777777" w:rsidR="0000059B" w:rsidRPr="001E4FD0" w:rsidRDefault="0000059B" w:rsidP="0000059B">
            <w:pPr>
              <w:rPr>
                <w:sz w:val="18"/>
              </w:rPr>
            </w:pPr>
            <w:r w:rsidRPr="001E4FD0">
              <w:rPr>
                <w:sz w:val="18"/>
              </w:rPr>
              <w:t>0%</w:t>
            </w:r>
          </w:p>
        </w:tc>
        <w:tc>
          <w:tcPr>
            <w:tcW w:w="2625" w:type="dxa"/>
          </w:tcPr>
          <w:p w14:paraId="2B7FCF22" w14:textId="77777777" w:rsidR="0000059B" w:rsidRPr="001E4FD0" w:rsidRDefault="0000059B" w:rsidP="0000059B">
            <w:pPr>
              <w:rPr>
                <w:sz w:val="18"/>
              </w:rPr>
            </w:pPr>
            <w:r w:rsidRPr="001E4FD0">
              <w:rPr>
                <w:sz w:val="18"/>
              </w:rPr>
              <w:t>Less than above</w:t>
            </w:r>
          </w:p>
        </w:tc>
        <w:tc>
          <w:tcPr>
            <w:tcW w:w="2520" w:type="dxa"/>
          </w:tcPr>
          <w:p w14:paraId="613A0B30" w14:textId="77777777" w:rsidR="0000059B" w:rsidRPr="001E4FD0" w:rsidRDefault="0000059B" w:rsidP="0000059B">
            <w:pPr>
              <w:rPr>
                <w:sz w:val="18"/>
              </w:rPr>
            </w:pPr>
            <w:r w:rsidRPr="001E4FD0">
              <w:rPr>
                <w:sz w:val="18"/>
              </w:rPr>
              <w:t>Less than above</w:t>
            </w:r>
          </w:p>
        </w:tc>
        <w:tc>
          <w:tcPr>
            <w:tcW w:w="2628" w:type="dxa"/>
          </w:tcPr>
          <w:p w14:paraId="0ACC275A" w14:textId="77777777" w:rsidR="0000059B" w:rsidRPr="001E4FD0" w:rsidRDefault="0000059B" w:rsidP="0000059B">
            <w:pPr>
              <w:rPr>
                <w:sz w:val="18"/>
              </w:rPr>
            </w:pPr>
            <w:r w:rsidRPr="001E4FD0">
              <w:rPr>
                <w:sz w:val="18"/>
              </w:rPr>
              <w:t>Less than above</w:t>
            </w:r>
          </w:p>
        </w:tc>
      </w:tr>
    </w:tbl>
    <w:p w14:paraId="24508733" w14:textId="77777777" w:rsidR="0000059B" w:rsidRDefault="0000059B" w:rsidP="0000059B"/>
    <w:p w14:paraId="405F75A9" w14:textId="785BCCB6" w:rsidR="0000059B" w:rsidRDefault="0000059B" w:rsidP="0000059B">
      <w:r>
        <w:t>Mass DEP provides a TSS Removal Calculation Sheet, a spreadsheet tool that calculates the percent removal for BMPs applied to a project area. There is no initial load calculated, but rather percentage reductions applied to the entire project area, with the starting TSS load assumed to be 1</w:t>
      </w:r>
      <w:r w:rsidR="00D243A4">
        <w:t>00% of the post-construction load</w:t>
      </w:r>
      <w:r>
        <w:t>, and BMPs reducing the load according to their efficiency values (MassDEP 2008c).</w:t>
      </w:r>
    </w:p>
    <w:p w14:paraId="3941CFB8" w14:textId="79874C94" w:rsidR="0000059B" w:rsidRDefault="0000059B" w:rsidP="0000059B">
      <w:r w:rsidRPr="00400A34">
        <w:rPr>
          <w:b/>
        </w:rPr>
        <w:t>Tracking and Reporting:</w:t>
      </w:r>
      <w:r>
        <w:t xml:space="preserve"> If street sweeping is used as a compliance strategy, it is documented in the Stormwater Report that is required to be submitted to comply with the Stormwater Management Standards to receive a permit under the Wetlands Protection Act Regulations and/or the 401 Water Quality Certification Regulations (MassDEP 2008d).</w:t>
      </w:r>
    </w:p>
    <w:p w14:paraId="5691B3A3" w14:textId="5FF3CA31" w:rsidR="0000059B" w:rsidRDefault="0000059B" w:rsidP="001E4FD0">
      <w:pPr>
        <w:pStyle w:val="Heading2"/>
      </w:pPr>
      <w:r>
        <w:t>Wisconsin Department of Natural Resources</w:t>
      </w:r>
    </w:p>
    <w:p w14:paraId="48600F85" w14:textId="77777777" w:rsidR="0000059B" w:rsidRDefault="0000059B" w:rsidP="0000059B">
      <w:r w:rsidRPr="00941990">
        <w:rPr>
          <w:b/>
        </w:rPr>
        <w:t>Crediting Method</w:t>
      </w:r>
      <w:r w:rsidRPr="00824BB3">
        <w:rPr>
          <w:b/>
        </w:rPr>
        <w:t>:</w:t>
      </w:r>
      <w:r w:rsidRPr="00824BB3">
        <w:t xml:space="preserve"> </w:t>
      </w:r>
      <w:r w:rsidRPr="000D1782">
        <w:t>Modeled reduction efficiency</w:t>
      </w:r>
      <w:r w:rsidRPr="00824BB3">
        <w:t xml:space="preserve"> </w:t>
      </w:r>
      <w:r>
        <w:t>-street sweeping</w:t>
      </w:r>
    </w:p>
    <w:p w14:paraId="28404F9D" w14:textId="77777777" w:rsidR="0000059B" w:rsidRDefault="0000059B" w:rsidP="0000059B">
      <w:r w:rsidRPr="00941990">
        <w:rPr>
          <w:b/>
        </w:rPr>
        <w:t>Applicability:</w:t>
      </w:r>
      <w:r>
        <w:t xml:space="preserve"> Wisconsin MS4 permittees (all)</w:t>
      </w:r>
    </w:p>
    <w:p w14:paraId="463AFBE6" w14:textId="74C94C10" w:rsidR="0000059B" w:rsidRDefault="0000059B" w:rsidP="0000059B">
      <w:r w:rsidRPr="00941990">
        <w:rPr>
          <w:b/>
        </w:rPr>
        <w:t>Details:</w:t>
      </w:r>
      <w:r>
        <w:rPr>
          <w:b/>
        </w:rPr>
        <w:t xml:space="preserve"> </w:t>
      </w:r>
      <w:r w:rsidRPr="00A613FC">
        <w:t>The Wisconsin Bureau of Watershed Management issued guidance to MS4 permittees on compliance with required TSS reductions of 20% by March 2008 and 40% by March 2013</w:t>
      </w:r>
      <w:r>
        <w:t xml:space="preserve"> to comply with the developed urban area performance standard</w:t>
      </w:r>
      <w:r w:rsidRPr="00A613FC">
        <w:t>.</w:t>
      </w:r>
      <w:r>
        <w:rPr>
          <w:b/>
        </w:rPr>
        <w:t xml:space="preserve"> </w:t>
      </w:r>
      <w:r w:rsidRPr="00A613FC">
        <w:t>Crediting is only applicable to areas not subject to the new development post-</w:t>
      </w:r>
      <w:r w:rsidRPr="00A613FC">
        <w:lastRenderedPageBreak/>
        <w:t>construction performance standards</w:t>
      </w:r>
      <w:r>
        <w:t xml:space="preserve"> (WI Bureau of Watershed Management 2010)</w:t>
      </w:r>
      <w:r w:rsidRPr="00A613FC">
        <w:t>.</w:t>
      </w:r>
      <w:r>
        <w:rPr>
          <w:b/>
        </w:rPr>
        <w:t xml:space="preserve"> </w:t>
      </w:r>
      <w:r w:rsidRPr="00955153">
        <w:t xml:space="preserve">MS4 permittees </w:t>
      </w:r>
      <w:r>
        <w:t xml:space="preserve">can report street sweeping as part of their credits towards meeting required TSS reductions. Two modeling options can be used to calculate the TSS reductions – </w:t>
      </w:r>
      <w:proofErr w:type="spellStart"/>
      <w:r>
        <w:t>WinSLAMM</w:t>
      </w:r>
      <w:proofErr w:type="spellEnd"/>
      <w:r>
        <w:t xml:space="preserve"> and P8. Crediting is based on percent reductions achieved in the model when compare</w:t>
      </w:r>
      <w:r w:rsidR="00D243A4">
        <w:t>d</w:t>
      </w:r>
      <w:r>
        <w:t xml:space="preserve"> to the “no controls” scenario (WI Bureau of Watershed Management 2010). </w:t>
      </w:r>
    </w:p>
    <w:p w14:paraId="5FDE736E" w14:textId="781E5F1E" w:rsidR="0000059B" w:rsidRDefault="0000059B" w:rsidP="0000059B">
      <w:r>
        <w:t>In addition to compliance with the developed urban area performance standard, MS4 permittees subject to TSS or TP TMDLs are also required to meet WLAs. The baseline</w:t>
      </w:r>
      <w:r w:rsidR="00D243A4">
        <w:t xml:space="preserve"> loading</w:t>
      </w:r>
      <w:r>
        <w:t xml:space="preserve"> condition</w:t>
      </w:r>
      <w:r w:rsidR="00D243A4">
        <w:t>, prior to TMDL reductions,</w:t>
      </w:r>
      <w:r>
        <w:t xml:space="preserve"> should assume the </w:t>
      </w:r>
      <w:r w:rsidR="00D243A4">
        <w:t xml:space="preserve">MS4 </w:t>
      </w:r>
      <w:r>
        <w:t>20% or 40% TSS control requirement</w:t>
      </w:r>
      <w:r w:rsidR="00D243A4">
        <w:t xml:space="preserve"> before applying</w:t>
      </w:r>
      <w:r>
        <w:t xml:space="preserve"> TMDL allocations. Total phosphorus baseline loading is calculated by converting from the TSS baseline using a fixed formula (WI Bureau of Watershed Management 2014).</w:t>
      </w:r>
    </w:p>
    <w:p w14:paraId="73FF2ABC" w14:textId="77777777" w:rsidR="0000059B" w:rsidRDefault="0000059B" w:rsidP="0000059B">
      <w:r>
        <w:t>Under the modeling requirements, street cleaning credit can only be claimed if there is a curb and gutter or equivalent barrier. If both mechanical broom and vacuum cleaning occur within two weeks of each other, only the removal efficiency from vacuum cleaning can be claimed. If broom sweeping occurs in the spring and fall, but vacuum sweeping occurs the remainder of the year, a combined efficiency can be calculated as:</w:t>
      </w:r>
    </w:p>
    <w:p w14:paraId="1F175E18" w14:textId="77777777" w:rsidR="0000059B" w:rsidRDefault="0000059B" w:rsidP="0000059B">
      <w:r w:rsidRPr="000D1782">
        <w:t xml:space="preserve">Model entire street cleaning program with mechanical broom + model just the period </w:t>
      </w:r>
      <w:r>
        <w:t>of</w:t>
      </w:r>
      <w:r w:rsidRPr="000D1782">
        <w:t xml:space="preserve"> vacuum cleaning – model the vacuum cleaning </w:t>
      </w:r>
      <w:proofErr w:type="gramStart"/>
      <w:r w:rsidRPr="000D1782">
        <w:t>time period</w:t>
      </w:r>
      <w:proofErr w:type="gramEnd"/>
      <w:r w:rsidRPr="000D1782">
        <w:t xml:space="preserve"> with a mechanical broom</w:t>
      </w:r>
      <w:r>
        <w:t xml:space="preserve"> = overall combined sweeping efficiency (WI Bureau of Watershed Management 2014). </w:t>
      </w:r>
    </w:p>
    <w:p w14:paraId="5E81727E" w14:textId="5594B09D" w:rsidR="0000059B" w:rsidRDefault="0000059B" w:rsidP="0000059B">
      <w:proofErr w:type="spellStart"/>
      <w:r>
        <w:t>WinSLAMM</w:t>
      </w:r>
      <w:proofErr w:type="spellEnd"/>
      <w:r>
        <w:t xml:space="preserve"> runoff calculations are based on normal rainfall events and associated pollutant loading. Calculating TP and TSS loading requires entry of rain, runoff coefficients, pollutant probability distribution, particulate solids concentration</w:t>
      </w:r>
      <w:r w:rsidR="00F7784A">
        <w:t xml:space="preserve"> (i.e., TSS concentration)</w:t>
      </w:r>
      <w:r>
        <w:t xml:space="preserve">, land use and particle size distribution, etc. BMP efficiency determination for street sweeping requires input of frequency, sweeper technology, street cleaner productivity (street texture, parking density, parking controls), parking density and parking controls. </w:t>
      </w:r>
    </w:p>
    <w:p w14:paraId="27123952" w14:textId="77777777" w:rsidR="0000059B" w:rsidRPr="000D1782" w:rsidRDefault="0000059B" w:rsidP="0000059B">
      <w:r>
        <w:t>P8 inputs are precipitation, land use, hydrologic conditions, soil type, impervious connected fraction by land use. P8 uses SLAMM hydrology calculations. To determine street sweeping efficiency impervious area is entered as either swept or not swept; and sweeper efficiency is based on particle inputs and adjusted based on parking controls. Credit only applies to vacuum sweeping and efficiencies are revised down to 5-15% depending on particle size.</w:t>
      </w:r>
    </w:p>
    <w:p w14:paraId="012DC7B3" w14:textId="77777777" w:rsidR="0000059B" w:rsidRDefault="0000059B" w:rsidP="0000059B">
      <w:r w:rsidRPr="00A90F4F">
        <w:rPr>
          <w:b/>
        </w:rPr>
        <w:t>Tracking and Reporting:</w:t>
      </w:r>
      <w:r w:rsidRPr="000D1782">
        <w:t xml:space="preserve"> </w:t>
      </w:r>
      <w:r>
        <w:t>Stormwater Management Planning (SWMP) is required for MS4s subject to a TMDL and should include the estimated pollutant reductions from various practices, including street sweeping. TMDL implementation planning is incorporated into the MS4 permit and requires a compliance schedule and benchmark tracking. TMDL compliance reporting includes the practice type, areas affected, date of implementation, treatment performance efficiency and percent reduction towards the TMDL target reduction (WI Bureau of Watershed Management 2014). General MS4 annual reporting for street sweeping includes the roadway swept, frequency of sweeping, and volume of material collected (Milwaukee County 2017). For water quality management reporting requirements in the MS4 annual report, a pollutant loading analysis is required, but load reductions are reported as a cumulative percent TSS reduction for all relevant practices.</w:t>
      </w:r>
    </w:p>
    <w:p w14:paraId="5452C763" w14:textId="77777777" w:rsidR="0000059B" w:rsidRPr="00D1076C" w:rsidRDefault="0000059B" w:rsidP="0000059B"/>
    <w:p w14:paraId="06B80500" w14:textId="77777777" w:rsidR="0000059B" w:rsidRDefault="0000059B" w:rsidP="0000059B">
      <w:r w:rsidRPr="00941990">
        <w:rPr>
          <w:b/>
        </w:rPr>
        <w:t>Crediting Method</w:t>
      </w:r>
      <w:r w:rsidRPr="00824BB3">
        <w:rPr>
          <w:b/>
        </w:rPr>
        <w:t>:</w:t>
      </w:r>
      <w:r w:rsidRPr="00824BB3">
        <w:t xml:space="preserve"> </w:t>
      </w:r>
      <w:r>
        <w:t>R</w:t>
      </w:r>
      <w:r w:rsidRPr="000D1782">
        <w:t>eduction efficiency</w:t>
      </w:r>
      <w:r w:rsidRPr="00824BB3">
        <w:t xml:space="preserve"> </w:t>
      </w:r>
      <w:r>
        <w:t>- leaf management</w:t>
      </w:r>
    </w:p>
    <w:p w14:paraId="5CA47C62" w14:textId="77777777" w:rsidR="0000059B" w:rsidRDefault="0000059B" w:rsidP="0000059B">
      <w:r w:rsidRPr="00941990">
        <w:rPr>
          <w:b/>
        </w:rPr>
        <w:t>Applicability:</w:t>
      </w:r>
      <w:r>
        <w:t xml:space="preserve"> Wisconsin MS4 permittees subject to an approved TMDL</w:t>
      </w:r>
    </w:p>
    <w:p w14:paraId="2D449BF6" w14:textId="29D39449" w:rsidR="0000059B" w:rsidRDefault="0000059B" w:rsidP="0000059B">
      <w:r w:rsidRPr="00941990">
        <w:rPr>
          <w:b/>
        </w:rPr>
        <w:t>Details:</w:t>
      </w:r>
      <w:r>
        <w:rPr>
          <w:b/>
        </w:rPr>
        <w:t xml:space="preserve"> </w:t>
      </w:r>
      <w:r>
        <w:t>WDNR</w:t>
      </w:r>
      <w:r w:rsidRPr="00A35BB4">
        <w:t xml:space="preserve"> has approved </w:t>
      </w:r>
      <w:r>
        <w:t xml:space="preserve">a </w:t>
      </w:r>
      <w:r w:rsidRPr="00A35BB4">
        <w:t>17% total phosphorus annual load reduction from leaf collection efforts</w:t>
      </w:r>
      <w:r>
        <w:t>. The reduction can be taking from the “no controls” phosphorus load in the selected model. This credit only applies</w:t>
      </w:r>
      <w:r w:rsidRPr="005B6605">
        <w:t xml:space="preserve"> </w:t>
      </w:r>
      <w:r w:rsidRPr="006A0F62">
        <w:t xml:space="preserve">to </w:t>
      </w:r>
      <w:r>
        <w:t xml:space="preserve">the </w:t>
      </w:r>
      <w:r w:rsidRPr="006A0F62">
        <w:t xml:space="preserve">medium density residential no alleys </w:t>
      </w:r>
      <w:r>
        <w:t xml:space="preserve">(MDRNA) </w:t>
      </w:r>
      <w:r w:rsidRPr="006A0F62">
        <w:t>land use</w:t>
      </w:r>
      <w:r w:rsidR="00D243A4">
        <w:t>;</w:t>
      </w:r>
      <w:r w:rsidR="00D243A4" w:rsidRPr="006A0F62">
        <w:t xml:space="preserve"> </w:t>
      </w:r>
      <w:r w:rsidRPr="006A0F62">
        <w:t>credit cannot be used for other land uses</w:t>
      </w:r>
      <w:r w:rsidR="00D243A4">
        <w:t>;</w:t>
      </w:r>
      <w:r w:rsidR="00D243A4" w:rsidRPr="006A0F62">
        <w:t xml:space="preserve"> </w:t>
      </w:r>
      <w:r w:rsidRPr="006A0F62">
        <w:t>and credit can only be taken for the portion of the land area that is MDRNA</w:t>
      </w:r>
      <w:r w:rsidR="00D243A4">
        <w:t xml:space="preserve"> because there is insufficient data to quantify credit on other land uses at this time.</w:t>
      </w:r>
      <w:r w:rsidR="00D243A4">
        <w:t xml:space="preserve"> </w:t>
      </w:r>
      <w:r>
        <w:t>Medium density residential is 2-6 units/acre</w:t>
      </w:r>
      <w:r w:rsidRPr="006A0F62">
        <w:t xml:space="preserve"> </w:t>
      </w:r>
      <w:r>
        <w:t xml:space="preserve">consisting of single-family homes. </w:t>
      </w:r>
      <w:r w:rsidRPr="006A0F62">
        <w:t xml:space="preserve">Medium density with alleys can received credit if </w:t>
      </w:r>
      <w:r>
        <w:t xml:space="preserve">the alleys are </w:t>
      </w:r>
      <w:r w:rsidRPr="006A0F62">
        <w:t>receiving the same level of leaf collection and street cleaning as streets.</w:t>
      </w:r>
      <w:r>
        <w:t xml:space="preserve"> The credit a</w:t>
      </w:r>
      <w:r w:rsidRPr="006A0F62">
        <w:t xml:space="preserve">ssumes light parking density and </w:t>
      </w:r>
      <w:r>
        <w:t xml:space="preserve">a </w:t>
      </w:r>
      <w:r w:rsidRPr="006A0F62">
        <w:t>curb and gutter system</w:t>
      </w:r>
      <w:r>
        <w:t xml:space="preserve">. </w:t>
      </w:r>
      <w:r w:rsidR="00D243A4">
        <w:t xml:space="preserve">It </w:t>
      </w:r>
      <w:r w:rsidR="00D243A4">
        <w:lastRenderedPageBreak/>
        <w:t xml:space="preserve">is unclear if the alleys must also have a curb and gutter system to qualify for credit. </w:t>
      </w:r>
      <w:r>
        <w:t xml:space="preserve">To be eligible for credit the area </w:t>
      </w:r>
      <w:r w:rsidRPr="006A0F62">
        <w:t xml:space="preserve">must have an average of 1 or more mature trees between </w:t>
      </w:r>
      <w:r>
        <w:t xml:space="preserve">the </w:t>
      </w:r>
      <w:r w:rsidRPr="006A0F62">
        <w:t>sidewalk and curb for every 80 linear feet of curb, or when sidewalk is not present, trees within 15 feet of curb</w:t>
      </w:r>
      <w:r>
        <w:t>. WDNR has determined that this</w:t>
      </w:r>
      <w:r w:rsidRPr="006A0F62">
        <w:t xml:space="preserve"> equates to tree canopy over street pavement of 17% or greater.  </w:t>
      </w:r>
      <w:r>
        <w:t>In addition, the m</w:t>
      </w:r>
      <w:r w:rsidRPr="006A0F62">
        <w:t xml:space="preserve">unicipality must have an ordinance prohibiting placement of leaves in the street and </w:t>
      </w:r>
      <w:r>
        <w:t xml:space="preserve">a </w:t>
      </w:r>
      <w:r w:rsidRPr="006A0F62">
        <w:t xml:space="preserve">policy that residents may place leaves on </w:t>
      </w:r>
      <w:r>
        <w:t xml:space="preserve">the </w:t>
      </w:r>
      <w:r w:rsidRPr="006A0F62">
        <w:t xml:space="preserve">terrace in bags or piles for collection. Leaf collection must occur at least 4 times in Oct and Nov. into a fully enclosed vehicle. Within 24 hours of collection, mechanical broom or vacuum street cleaner </w:t>
      </w:r>
      <w:r>
        <w:t>m</w:t>
      </w:r>
      <w:r w:rsidRPr="006A0F62">
        <w:t>ust remove remaining litter from street</w:t>
      </w:r>
      <w:r w:rsidRPr="00A35BB4">
        <w:t xml:space="preserve"> (WDNR 2018).</w:t>
      </w:r>
    </w:p>
    <w:p w14:paraId="3C1FF679" w14:textId="77777777" w:rsidR="0000059B" w:rsidRDefault="0000059B" w:rsidP="0000059B">
      <w:pPr>
        <w:rPr>
          <w:rFonts w:eastAsia="Times New Roman"/>
        </w:rPr>
      </w:pPr>
      <w:r>
        <w:rPr>
          <w:rFonts w:eastAsia="Times New Roman"/>
        </w:rPr>
        <w:t xml:space="preserve">The phosphorus reduction credit for the leaf management program may not be taken in addition to phosphorus reductions from other BMPs in the same drainage area because additional evaluation is needed to determine the impact of leaf collection on loading to structural BMPs (WDNR 2018). </w:t>
      </w:r>
    </w:p>
    <w:p w14:paraId="1A7BD50C" w14:textId="2C23D995" w:rsidR="0000059B" w:rsidRDefault="0000059B" w:rsidP="0000059B">
      <w:r w:rsidRPr="00A90F4F">
        <w:rPr>
          <w:b/>
        </w:rPr>
        <w:t>Tracking and Reporting:</w:t>
      </w:r>
      <w:r w:rsidRPr="000D1782">
        <w:t xml:space="preserve"> </w:t>
      </w:r>
      <w:r>
        <w:t>Tracking and reporting is not specifically addressed; however, this is a credit related to the development of SWMPs for MS4s subject to TMDLs. As such, it will likely be reported through the same mechanisms described under the Wisconsin street sweeping crediting.</w:t>
      </w:r>
    </w:p>
    <w:p w14:paraId="765EFCAC" w14:textId="4118E5CE" w:rsidR="0000059B" w:rsidRDefault="0000059B" w:rsidP="001E4FD0">
      <w:pPr>
        <w:pStyle w:val="Heading2"/>
      </w:pPr>
      <w:r>
        <w:t>Washington Ecology</w:t>
      </w:r>
    </w:p>
    <w:p w14:paraId="51907106" w14:textId="77777777" w:rsidR="0000059B" w:rsidRDefault="0000059B" w:rsidP="0000059B">
      <w:r w:rsidRPr="00941990">
        <w:rPr>
          <w:b/>
        </w:rPr>
        <w:t>Crediting Method</w:t>
      </w:r>
      <w:r w:rsidRPr="00824BB3">
        <w:rPr>
          <w:b/>
        </w:rPr>
        <w:t>:</w:t>
      </w:r>
      <w:r w:rsidRPr="00824BB3">
        <w:t xml:space="preserve"> </w:t>
      </w:r>
      <w:r>
        <w:t>Mass load reduction and effective developed acres reduction</w:t>
      </w:r>
    </w:p>
    <w:p w14:paraId="2D4CE526" w14:textId="77777777" w:rsidR="0000059B" w:rsidRDefault="0000059B" w:rsidP="0000059B">
      <w:r w:rsidRPr="00941990">
        <w:rPr>
          <w:b/>
        </w:rPr>
        <w:t>Applicability:</w:t>
      </w:r>
      <w:r>
        <w:t xml:space="preserve"> Washington MS4 permittees subject to an approved TMDL</w:t>
      </w:r>
    </w:p>
    <w:p w14:paraId="79FFA0D8" w14:textId="70358714" w:rsidR="0000059B" w:rsidRDefault="0000059B" w:rsidP="0000059B">
      <w:r w:rsidRPr="00941990">
        <w:rPr>
          <w:b/>
        </w:rPr>
        <w:t>Details:</w:t>
      </w:r>
      <w:r>
        <w:rPr>
          <w:b/>
        </w:rPr>
        <w:t xml:space="preserve"> </w:t>
      </w:r>
      <w:r w:rsidRPr="00695332">
        <w:t>Washington Ecology’s new Phase I permit, set to take effect August 1, 2019</w:t>
      </w:r>
      <w:r>
        <w:t xml:space="preserve"> requires MS4s subject to a phosphorus TMDL to evaluate and track pollutant reductions. The requirements vary by TMDL and the different requirements are outlined for the various jurisdictions. For example, City of Bellingham is required to conduct enhanced street sweeping and the reductions are to be expressed as a reduction in Effective Developed Acres and may also be expressed as mass per unit time (Ecology 2019). Pierce County and the City of Puyallup are required to draft QAPPs outlining the information gathered to calibrate their regenerative air street sweeper annual calculation of sediment reduction credits. They must include a sampling program that measures particle size distribution, organic carbon fraction, and dry mass weight of recovered material. Sediment load reduction credit can only be claimed after developing a</w:t>
      </w:r>
      <w:r w:rsidR="00D243A4">
        <w:t xml:space="preserve"> state-</w:t>
      </w:r>
      <w:r>
        <w:t xml:space="preserve">approved QAPP (Ecology 2019). There is no overarching street sweeping credit for MS4 permittees that are not subject to a relevant TMDL in either the current permit or the 2019-2024 permits. The current Phase I permit also does not include street sweeping credit for jurisdictions subject to a relevant TMDL.  </w:t>
      </w:r>
    </w:p>
    <w:p w14:paraId="5ECA6797" w14:textId="77777777" w:rsidR="0000059B" w:rsidRDefault="0000059B" w:rsidP="0000059B">
      <w:r w:rsidRPr="00A90F4F">
        <w:rPr>
          <w:b/>
        </w:rPr>
        <w:t>Tracking and Reporting:</w:t>
      </w:r>
      <w:r w:rsidRPr="000D1782">
        <w:t xml:space="preserve"> </w:t>
      </w:r>
      <w:r>
        <w:t xml:space="preserve">For the City of Bellingham, enhanced street sweeping is required to be reported in each MS4 annual report as the estimate of the mass of total phosphorus removed and the estimate of the equivalent reduced effective developed acres (Ecology 2019). However, no specific methodology for determining the total phosphorus removed was identified. </w:t>
      </w:r>
    </w:p>
    <w:p w14:paraId="7334F463" w14:textId="27035C74" w:rsidR="00EF45EB" w:rsidRDefault="0000059B" w:rsidP="0000059B">
      <w:r w:rsidRPr="00F22158">
        <w:rPr>
          <w:b/>
        </w:rPr>
        <w:t>Additional Information</w:t>
      </w:r>
      <w:r>
        <w:rPr>
          <w:b/>
        </w:rPr>
        <w:t>:</w:t>
      </w:r>
      <w:r>
        <w:t xml:space="preserve"> </w:t>
      </w:r>
      <w:r w:rsidRPr="00675527">
        <w:t>The City of Seattle’s Stormwater Management Program includes street sweeping as a water quality practice</w:t>
      </w:r>
      <w:r>
        <w:t>, using regenerative air sweepers on a weekly basis (SPU 2017). Pollutants captured in the street sweeping are measured as TSS equivalent (City of Seattle 2018). The estimated TSS load reduction is provided and is intended to represent the target pollutant for basic stormwater treatment because it is often related to other particle-bound pollutants, like total metals, total phosphorus and other pollutants. The method for determining the TSS load reduction was not readily identifiable.  Over the course of 2 years Seattle Public Utilities conducted a study of stormwater runoff samples to evaluate the effectiveness of street sweeping at reducing pollution in urban stormwater runoff, while initial results were presented, the analysis to determine removal values had not yet been conducted (SPU 2017).</w:t>
      </w:r>
    </w:p>
    <w:p w14:paraId="46FE8C42" w14:textId="77777777" w:rsidR="00EF45EB" w:rsidRDefault="00EF45EB">
      <w:pPr>
        <w:spacing w:after="0" w:line="240" w:lineRule="auto"/>
      </w:pPr>
      <w:r>
        <w:br w:type="page"/>
      </w:r>
    </w:p>
    <w:p w14:paraId="2C31AC91" w14:textId="77777777" w:rsidR="0000059B" w:rsidRPr="0096401E" w:rsidRDefault="0000059B" w:rsidP="001E4FD0">
      <w:pPr>
        <w:pStyle w:val="Heading2"/>
      </w:pPr>
      <w:r>
        <w:lastRenderedPageBreak/>
        <w:t>County and City of San Diego and Co-Permittees</w:t>
      </w:r>
    </w:p>
    <w:p w14:paraId="095EAA8F" w14:textId="77777777" w:rsidR="006B096E" w:rsidRDefault="006B096E" w:rsidP="006B096E">
      <w:r w:rsidRPr="00941990">
        <w:rPr>
          <w:b/>
        </w:rPr>
        <w:t>Crediting Method</w:t>
      </w:r>
      <w:r w:rsidRPr="00824BB3">
        <w:rPr>
          <w:b/>
        </w:rPr>
        <w:t>:</w:t>
      </w:r>
      <w:r w:rsidRPr="00824BB3">
        <w:t xml:space="preserve"> </w:t>
      </w:r>
      <w:r>
        <w:t>Performance-based compliance with optimized enhanced street sweeping program</w:t>
      </w:r>
    </w:p>
    <w:p w14:paraId="08B5F7CB" w14:textId="77777777" w:rsidR="0000059B" w:rsidRDefault="0000059B" w:rsidP="0000059B">
      <w:r w:rsidRPr="00941990">
        <w:rPr>
          <w:b/>
        </w:rPr>
        <w:t>Applicability:</w:t>
      </w:r>
      <w:r>
        <w:t xml:space="preserve"> County and City of San Diego and MS4 co-permittees in the Los </w:t>
      </w:r>
      <w:proofErr w:type="spellStart"/>
      <w:r>
        <w:t>Pe</w:t>
      </w:r>
      <w:r>
        <w:rPr>
          <w:rFonts w:cstheme="minorHAnsi"/>
        </w:rPr>
        <w:t>ñ</w:t>
      </w:r>
      <w:r>
        <w:t>asquitos</w:t>
      </w:r>
      <w:proofErr w:type="spellEnd"/>
      <w:r>
        <w:t xml:space="preserve"> Watershed Management Area</w:t>
      </w:r>
    </w:p>
    <w:p w14:paraId="56B07898" w14:textId="77777777" w:rsidR="0000059B" w:rsidRDefault="0000059B" w:rsidP="0000059B">
      <w:r w:rsidRPr="00941990">
        <w:rPr>
          <w:b/>
        </w:rPr>
        <w:t>Details:</w:t>
      </w:r>
      <w:r>
        <w:rPr>
          <w:b/>
        </w:rPr>
        <w:t xml:space="preserve"> </w:t>
      </w:r>
      <w:r>
        <w:t xml:space="preserve">San Diego and its MS4 co-permittees are subject to numerous TMDLs.  Compliance with the WLAs is based on load reductions from modeled structural and non-structural practices. Since the water quality numeric goals exceed the timeframe of the current MS4 permit, performance-based goals were established to measure short term progress, with longer-term numeric goals acknowledged. In the case of street sweeping, Load Simulation Program C++ (LSPC) was used to model existing street sweeping practices and identify an optimized scenario (enhanced street sweeping) (AMEC 2015).  Compliance with the regime that was determined to be the optimal strategy results in credit for the practice. The optimized scenario was based on reducing a suite of pollutants, not just nutrients and sediment. The enhanced street sweeping program for the Los </w:t>
      </w:r>
      <w:proofErr w:type="spellStart"/>
      <w:r>
        <w:t>Pe</w:t>
      </w:r>
      <w:r>
        <w:rPr>
          <w:rFonts w:cstheme="minorHAnsi"/>
        </w:rPr>
        <w:t>ñ</w:t>
      </w:r>
      <w:r>
        <w:t>asquitos</w:t>
      </w:r>
      <w:proofErr w:type="spellEnd"/>
      <w:r>
        <w:t xml:space="preserve"> Watershed Management Area was determined to be bi-weekly sweeping of all routes and exclusive use of regenerative air sweepers (AMEC 2015). Specific credit values by pollutant are not identified.  </w:t>
      </w:r>
    </w:p>
    <w:p w14:paraId="4B0F4B44" w14:textId="77777777" w:rsidR="0000059B" w:rsidRDefault="0000059B" w:rsidP="0000059B">
      <w:r>
        <w:t xml:space="preserve">Factors that were included in the LSPC optimization for street sweeping included start and end months for sweeping (year-round), typical days between high, medium and low frequency of route sweeping, fraction of land surface available for sweeping, total solids removal efficiency of different sweeper technologies, fraction of sand, silt/clay and gravel in solids, and the concentration of copper, zinc, lead, TKN, total phosphorus and bacteria in collected sediment, as determined by a pilot sweeping monitoring study (AMEC 2015). </w:t>
      </w:r>
    </w:p>
    <w:p w14:paraId="24C746B2" w14:textId="77777777" w:rsidR="0000059B" w:rsidRDefault="0000059B" w:rsidP="0000059B">
      <w:r w:rsidRPr="00550A1C">
        <w:rPr>
          <w:b/>
        </w:rPr>
        <w:t>Tracking and Reporting:</w:t>
      </w:r>
      <w:r>
        <w:t xml:space="preserve"> Specific load reductions are not tracked or reported in association with street sweeping, but the annual report identifies whether and how the optimized strategy is being implemented (performance measures) (Wood 2019). </w:t>
      </w:r>
    </w:p>
    <w:p w14:paraId="0BEFF016" w14:textId="77777777" w:rsidR="0000059B" w:rsidRPr="0096401E" w:rsidRDefault="0000059B" w:rsidP="001E4FD0">
      <w:pPr>
        <w:pStyle w:val="Heading2"/>
      </w:pPr>
      <w:r>
        <w:t>Orange County, California and MS4 Co-Permittees</w:t>
      </w:r>
    </w:p>
    <w:p w14:paraId="166AFE8D" w14:textId="77777777" w:rsidR="006B096E" w:rsidRDefault="006B096E" w:rsidP="006B096E">
      <w:r w:rsidRPr="00941990">
        <w:rPr>
          <w:b/>
        </w:rPr>
        <w:t>Crediting Method</w:t>
      </w:r>
      <w:r w:rsidRPr="00824BB3">
        <w:rPr>
          <w:b/>
        </w:rPr>
        <w:t>:</w:t>
      </w:r>
      <w:r w:rsidRPr="00824BB3">
        <w:t xml:space="preserve"> </w:t>
      </w:r>
      <w:r>
        <w:t>Aggregate efficiency for suite of non-structural practices</w:t>
      </w:r>
    </w:p>
    <w:p w14:paraId="0EDA322B" w14:textId="77777777" w:rsidR="0000059B" w:rsidRDefault="0000059B" w:rsidP="0000059B">
      <w:r w:rsidRPr="00941990">
        <w:rPr>
          <w:b/>
        </w:rPr>
        <w:t>Applicability:</w:t>
      </w:r>
      <w:r>
        <w:t xml:space="preserve"> Orange County and MS4 co-permittees in the South Orange County Watershed Management Area</w:t>
      </w:r>
    </w:p>
    <w:p w14:paraId="589E4E28" w14:textId="508BEDB2" w:rsidR="0000059B" w:rsidRDefault="0000059B" w:rsidP="0000059B">
      <w:r w:rsidRPr="00941990">
        <w:rPr>
          <w:b/>
        </w:rPr>
        <w:t>Details:</w:t>
      </w:r>
      <w:r>
        <w:rPr>
          <w:b/>
        </w:rPr>
        <w:t xml:space="preserve"> </w:t>
      </w:r>
      <w:r>
        <w:t xml:space="preserve">The non-structural (programmatic) strategies in the South Orange County Water Quality Improvement Plan (WQIP) are based on Jurisdictional Runoff Management Plan (JRMP) requirements in the MS4 permit (The County of Orange et al. 2017).  The JRMPs are required to detail jurisdictional programs to prohibit non-stormwater discharges to the MS4, reduce pollutants in stormwater, and protect beneficial uses of receiving waters. Non-structural practices include street sweeping, trash cleanup, good landscaping practices, commercial and industrial good housekeeping, pet waste control, etc. None of these practices are modeled for the WQIP. To account </w:t>
      </w:r>
      <w:r w:rsidR="00D243A4">
        <w:t xml:space="preserve">for </w:t>
      </w:r>
      <w:r>
        <w:t xml:space="preserve">the associated load reduction from these practices, a 10% load reduction from the baseline loads of each pollutant of concern is included in the quantification of reductions based on best professional judgement and earlier studies (The County of Orange et al. 2017).  The 10% reduction applies to all programmatic practices in aggregate.  There is not a specific load reduction associated with street sweeping as a </w:t>
      </w:r>
      <w:proofErr w:type="spellStart"/>
      <w:proofErr w:type="gramStart"/>
      <w:r>
        <w:t>stand alone</w:t>
      </w:r>
      <w:proofErr w:type="spellEnd"/>
      <w:proofErr w:type="gramEnd"/>
      <w:r>
        <w:t xml:space="preserve"> practice. The reduction efficiencies apply to bacteria.</w:t>
      </w:r>
    </w:p>
    <w:p w14:paraId="4C29303E" w14:textId="687E78E7" w:rsidR="0000059B" w:rsidRDefault="0000059B" w:rsidP="0000059B">
      <w:r>
        <w:t>Part of the WQIP Monitoring and Assessment Program is to move to a modeling framework that includes non-structural practices, including street sweeping, to allow for the optimization of BMP opportunities (The County of Orange et al. 2017). A report of findings is expected in 2019</w:t>
      </w:r>
      <w:r w:rsidR="00D243A4">
        <w:t xml:space="preserve"> but is not yet available</w:t>
      </w:r>
      <w:r>
        <w:t xml:space="preserve">. </w:t>
      </w:r>
    </w:p>
    <w:p w14:paraId="632CA0F3" w14:textId="0D8B88A7" w:rsidR="0000059B" w:rsidRDefault="0000059B" w:rsidP="0000059B">
      <w:r w:rsidRPr="00887B44">
        <w:rPr>
          <w:b/>
        </w:rPr>
        <w:lastRenderedPageBreak/>
        <w:t>Tracking and Reporting:</w:t>
      </w:r>
      <w:r>
        <w:t xml:space="preserve"> The most recent annual report, from 2017-2018, did not address programmatic measures. </w:t>
      </w:r>
    </w:p>
    <w:p w14:paraId="3D06328E" w14:textId="31CE3ACB" w:rsidR="001E4FD0" w:rsidRDefault="001E4FD0" w:rsidP="0000059B"/>
    <w:p w14:paraId="42276FBB" w14:textId="77777777" w:rsidR="0000059B" w:rsidRPr="0096401E" w:rsidRDefault="0000059B" w:rsidP="001E4FD0">
      <w:pPr>
        <w:pStyle w:val="Heading2"/>
      </w:pPr>
      <w:r>
        <w:t>City of Santa Cruz, California</w:t>
      </w:r>
    </w:p>
    <w:p w14:paraId="664192C5" w14:textId="77777777" w:rsidR="006B096E" w:rsidRDefault="006B096E" w:rsidP="006B096E">
      <w:r w:rsidRPr="00941990">
        <w:rPr>
          <w:b/>
        </w:rPr>
        <w:t>Crediting Method</w:t>
      </w:r>
      <w:r w:rsidRPr="00824BB3">
        <w:rPr>
          <w:b/>
        </w:rPr>
        <w:t>:</w:t>
      </w:r>
      <w:r w:rsidRPr="00824BB3">
        <w:t xml:space="preserve"> </w:t>
      </w:r>
      <w:r>
        <w:t>Modeled load reductions</w:t>
      </w:r>
    </w:p>
    <w:p w14:paraId="7DF63085" w14:textId="77777777" w:rsidR="0000059B" w:rsidRDefault="0000059B" w:rsidP="0000059B">
      <w:r w:rsidRPr="00941990">
        <w:rPr>
          <w:b/>
        </w:rPr>
        <w:t>Applicability:</w:t>
      </w:r>
      <w:r>
        <w:t xml:space="preserve"> City of Santa Cruz</w:t>
      </w:r>
    </w:p>
    <w:p w14:paraId="53182F9D" w14:textId="77777777" w:rsidR="0000059B" w:rsidRDefault="0000059B" w:rsidP="0000059B">
      <w:r w:rsidRPr="00941990">
        <w:rPr>
          <w:b/>
        </w:rPr>
        <w:t>Details:</w:t>
      </w:r>
      <w:r>
        <w:rPr>
          <w:b/>
        </w:rPr>
        <w:t xml:space="preserve"> </w:t>
      </w:r>
      <w:r>
        <w:t xml:space="preserve">As part of the City of Santa Cruz’s Phase II MS4 permit, the city developed a stormwater management plan to address the primary pollutants of concern, which included sediment and silt, due to the presence of sediment impaired waterbodies and TMDLs (City of Santa Cruz 2010). Street sweeping was included as a management measure. Subsequently, the City prepared a Program Effectiveness Assessment and Improvement Plan with the objective of tracking annual and long-term effectiveness of the Stormwater program and allow for adaptive management (City of Santa Cruz 2015). Street sweeping was included as a practice for pollutant load and load reduction modeling. Santa Cruz planned to use the Tool for Estimating Load Reductions (TELR), a proprietary land use loading catchment level model. Additional information on the inputs into TELR were not readily available. </w:t>
      </w:r>
    </w:p>
    <w:p w14:paraId="51520066" w14:textId="61E78362" w:rsidR="0000059B" w:rsidRPr="0000059B" w:rsidRDefault="0000059B" w:rsidP="0000059B">
      <w:r w:rsidRPr="00DF3DCA">
        <w:rPr>
          <w:b/>
        </w:rPr>
        <w:t>Tracking and Reporting:</w:t>
      </w:r>
      <w:r>
        <w:t xml:space="preserve"> As of the 2017-2018 Annual Report and the 2018 Annual Report for TMDL BMP Implementation, the City of Santa Cruz was not reporting on load reductions but instead on curb miles swept and tons of solids collected (City of Santa Cruz 2018). The annual reports indicated that TELR was being used; however, it was not clear what the resulting sediment load reduction was determined to be.</w:t>
      </w:r>
    </w:p>
    <w:p w14:paraId="70C5743A" w14:textId="34B229E8" w:rsidR="00AE7B75" w:rsidRDefault="0000059B" w:rsidP="001E4FD0">
      <w:pPr>
        <w:pStyle w:val="Heading2"/>
      </w:pPr>
      <w:r>
        <w:t>Crediting</w:t>
      </w:r>
      <w:r w:rsidR="00AE7B75">
        <w:t xml:space="preserve"> Methods under Development</w:t>
      </w:r>
    </w:p>
    <w:p w14:paraId="060AA5B4" w14:textId="77777777" w:rsidR="00AE7B75" w:rsidRDefault="00AE7B75">
      <w:pPr>
        <w:spacing w:after="0" w:line="240" w:lineRule="auto"/>
      </w:pPr>
    </w:p>
    <w:p w14:paraId="61839B18" w14:textId="68D31594" w:rsidR="00AE7B75" w:rsidRDefault="00AE7B75" w:rsidP="00AE7B75">
      <w:r w:rsidRPr="003A6F03">
        <w:rPr>
          <w:b/>
        </w:rPr>
        <w:t xml:space="preserve">Vermont </w:t>
      </w:r>
      <w:r>
        <w:t xml:space="preserve">is in the process of developing a phosphorus street sweeping credit to address nutrient TMDLs for municipalities that will be regulated under the Vermont Clean Water Act. An interim credit will be developed based on the BATT model from EPA Region 1 and other crediting methods, including the New Hampshire MS4 permit and the Chesapeake Bay Program Expert Panel report (Vermont Agency of Natural Resources 2019). A permanent credit will be developed based on “phosphorus source area delineations of municipal streets using real time materials sampling of sediment and nutrients, forest cover measurements, forest tree species, seasonal deposition of organic materials from trees, street sweeping efficiencies and street cleaning frequencies” (Vermont Agency of Natural Resources 2019). </w:t>
      </w:r>
      <w:r w:rsidR="00D243A4">
        <w:t>Additional information on the program was not available.</w:t>
      </w:r>
    </w:p>
    <w:p w14:paraId="10E1C41C" w14:textId="17E8652E" w:rsidR="00AE7B75" w:rsidRDefault="00AE7B75" w:rsidP="001E4FD0">
      <w:r w:rsidRPr="003A6F03">
        <w:rPr>
          <w:b/>
        </w:rPr>
        <w:t>North Carolina</w:t>
      </w:r>
      <w:r>
        <w:rPr>
          <w:b/>
        </w:rPr>
        <w:t xml:space="preserve"> </w:t>
      </w:r>
      <w:r w:rsidRPr="00D44982">
        <w:t xml:space="preserve">Department of Environmental Quality </w:t>
      </w:r>
      <w:r>
        <w:t xml:space="preserve">is also in the process of developing a street sweeping and catch basin cleaning credit. The credit is only intended to apply to existing development requiring nutrient reductions to meet applicable nutrient strategies (NCDEQ 2018). It will not be applicable as credit towards nutrient reduction requirements related to new development. The streets must have a curb and gutter system. The street sweeping </w:t>
      </w:r>
      <w:r w:rsidR="00D243A4">
        <w:t xml:space="preserve">and catch basin </w:t>
      </w:r>
      <w:r>
        <w:t>credit is determined by applying conversion factors to the weight of freshly collected material</w:t>
      </w:r>
      <w:r w:rsidR="00D243A4">
        <w:t xml:space="preserve"> (wet)</w:t>
      </w:r>
      <w:r>
        <w:t>, as determined by direct measurement of the average weight of the contents of a collection vehicle. The conversion factors are 0.023</w:t>
      </w:r>
      <w:r w:rsidR="00D243A4">
        <w:t xml:space="preserve"> </w:t>
      </w:r>
      <w:proofErr w:type="spellStart"/>
      <w:r>
        <w:t>lb</w:t>
      </w:r>
      <w:proofErr w:type="spellEnd"/>
      <w:r w:rsidR="00D243A4">
        <w:t xml:space="preserve"> TN/</w:t>
      </w:r>
      <w:proofErr w:type="spellStart"/>
      <w:r w:rsidR="00D243A4">
        <w:t>lb</w:t>
      </w:r>
      <w:proofErr w:type="spellEnd"/>
      <w:r w:rsidR="00D243A4">
        <w:t xml:space="preserve"> of debris</w:t>
      </w:r>
      <w:r>
        <w:t xml:space="preserve"> and 0.002</w:t>
      </w:r>
      <w:r w:rsidR="00D243A4">
        <w:t xml:space="preserve"> </w:t>
      </w:r>
      <w:proofErr w:type="spellStart"/>
      <w:r>
        <w:t>lb</w:t>
      </w:r>
      <w:proofErr w:type="spellEnd"/>
      <w:r w:rsidR="00D243A4">
        <w:t xml:space="preserve"> TP/</w:t>
      </w:r>
      <w:proofErr w:type="spellStart"/>
      <w:r w:rsidR="00D243A4">
        <w:t>lb</w:t>
      </w:r>
      <w:proofErr w:type="spellEnd"/>
      <w:r w:rsidR="00D243A4">
        <w:t xml:space="preserve"> of debris</w:t>
      </w:r>
      <w:r>
        <w:t>, respectively.</w:t>
      </w:r>
      <w:r w:rsidR="00D243A4">
        <w:t xml:space="preserve"> These are derived from </w:t>
      </w:r>
      <w:r w:rsidR="00D243A4">
        <w:t xml:space="preserve">gross solids measurements in catch basins throughout </w:t>
      </w:r>
      <w:r w:rsidR="00D243A4">
        <w:t>coastal and Piedmont North Carolina</w:t>
      </w:r>
      <w:r w:rsidR="00D243A4">
        <w:t>.</w:t>
      </w:r>
      <w:r w:rsidR="00D243A4">
        <w:t xml:space="preserve"> </w:t>
      </w:r>
      <w:r>
        <w:t xml:space="preserve"> </w:t>
      </w:r>
      <w:r w:rsidR="00D243A4">
        <w:t xml:space="preserve">Dry weight is not used in this method. </w:t>
      </w:r>
      <w:r>
        <w:t>Custom conversion factors based on laboratory analysis may also be used</w:t>
      </w:r>
      <w:r w:rsidR="00D243A4">
        <w:t xml:space="preserve">, </w:t>
      </w:r>
      <w:r w:rsidR="00D243A4">
        <w:lastRenderedPageBreak/>
        <w:t xml:space="preserve">but consultation with the NC </w:t>
      </w:r>
      <w:r w:rsidR="00D243A4">
        <w:t xml:space="preserve">Department of Environmental Quality, </w:t>
      </w:r>
      <w:r w:rsidR="00D243A4">
        <w:t>Division of Water Resources is required</w:t>
      </w:r>
      <w:r>
        <w:t>.  The product of the weight of material collected and the conversion factors is the mass of nitrogen and phosphorus removed. To receive credit, the entity will submit to North Carolina Division of Water Resources an estimate of annual weight collected at baseline, weight of material collected in reporting year, difference between baseline and reporting year weights, nutrient credit calculation, type of collection vehicle and the average weigh of contents of a full truck.  The credit specifically does not include credit for fall street-side leaf pickup.</w:t>
      </w:r>
    </w:p>
    <w:p w14:paraId="49455EA6" w14:textId="497E4165" w:rsidR="00DD2E53" w:rsidRDefault="00AE7B75" w:rsidP="00DA6982">
      <w:r>
        <w:t>A final crediting method was presented to the North Carolina Nutrient Scientific Advisory Board in 2018; however, the Board determined that more work needs to be done to determine whether it is feasible to determine a baseline for this practice (NSAB 2018)</w:t>
      </w:r>
      <w:r w:rsidR="001E4FD0">
        <w:t>.</w:t>
      </w:r>
      <w:bookmarkEnd w:id="1"/>
    </w:p>
    <w:p w14:paraId="10FC454C" w14:textId="77777777" w:rsidR="0055704D" w:rsidRDefault="0055704D" w:rsidP="00DA6982">
      <w:pPr>
        <w:sectPr w:rsidR="0055704D" w:rsidSect="00D12DB0">
          <w:footerReference w:type="default" r:id="rId12"/>
          <w:headerReference w:type="first" r:id="rId13"/>
          <w:footerReference w:type="first" r:id="rId14"/>
          <w:pgSz w:w="12240" w:h="15840"/>
          <w:pgMar w:top="1440" w:right="1080" w:bottom="1440" w:left="1080" w:header="648" w:footer="648" w:gutter="0"/>
          <w:pgNumType w:start="1"/>
          <w:cols w:space="720"/>
          <w:titlePg/>
          <w:docGrid w:linePitch="360"/>
        </w:sectPr>
      </w:pPr>
    </w:p>
    <w:p w14:paraId="0EB0F912" w14:textId="1432FCBC" w:rsidR="00AE7B75" w:rsidRDefault="00AE7B75" w:rsidP="00AE7B75">
      <w:pPr>
        <w:pStyle w:val="Heading1"/>
      </w:pPr>
      <w:r>
        <w:lastRenderedPageBreak/>
        <w:t>References</w:t>
      </w:r>
    </w:p>
    <w:p w14:paraId="6155AB5F" w14:textId="77777777" w:rsidR="00AE7B75" w:rsidRDefault="00AE7B75" w:rsidP="001E4FD0">
      <w:proofErr w:type="spellStart"/>
      <w:r>
        <w:t>Amec</w:t>
      </w:r>
      <w:proofErr w:type="spellEnd"/>
      <w:r>
        <w:t xml:space="preserve"> Foster Wheeler Environment &amp; Infrastructure, Inc. (AMEC). 2015. Los </w:t>
      </w:r>
      <w:proofErr w:type="spellStart"/>
      <w:r>
        <w:t>Penasquitos</w:t>
      </w:r>
      <w:proofErr w:type="spellEnd"/>
      <w:r>
        <w:t xml:space="preserve"> Watershed Management Area Water Quality Improvement Plan and Comprehensive Load Reduction Plan. </w:t>
      </w:r>
      <w:r>
        <w:rPr>
          <w:rFonts w:eastAsia="Times New Roman" w:cs="Times New Roman"/>
          <w:color w:val="000000"/>
        </w:rPr>
        <w:t xml:space="preserve">Submitted by County of San Diego, City of San Diego, City of Del Mar, Caltrans, and City of Poway. Prepared by </w:t>
      </w:r>
      <w:proofErr w:type="spellStart"/>
      <w:r>
        <w:t>Amec</w:t>
      </w:r>
      <w:proofErr w:type="spellEnd"/>
      <w:r>
        <w:t xml:space="preserve"> Foster Wheeler Environment &amp; Infrastructure, Inc. with Tetra Tech, IA and ARC.</w:t>
      </w:r>
    </w:p>
    <w:p w14:paraId="3E915780" w14:textId="77777777" w:rsidR="00AE7B75" w:rsidRDefault="00AE7B75" w:rsidP="001E4FD0">
      <w:r>
        <w:t xml:space="preserve">Bateman, M. 2012. Methodology for Calculating Nutrient Load Reductions Using the FSA Assessment Tool. Prepared for the Florida Stormwater Association and Florida Department of Environmental Protection.  Prepared by Michael Bateman, PE. Northwest Florida Water Management District. </w:t>
      </w:r>
    </w:p>
    <w:p w14:paraId="0ADDEDF5" w14:textId="77777777" w:rsidR="00AE7B75" w:rsidRDefault="00AE7B75" w:rsidP="001E4FD0">
      <w:r>
        <w:t xml:space="preserve">City of Santa Cruz. 2010. Storm Water Management Plan. </w:t>
      </w:r>
    </w:p>
    <w:p w14:paraId="04E458E9" w14:textId="77777777" w:rsidR="00AE7B75" w:rsidRDefault="00AE7B75" w:rsidP="001E4FD0">
      <w:r>
        <w:t>City of Santa Cruz. 2015. Program Effectiveness Assessment and Improvement Plan.</w:t>
      </w:r>
    </w:p>
    <w:p w14:paraId="22B0E250" w14:textId="77777777" w:rsidR="00AE7B75" w:rsidRDefault="00AE7B75" w:rsidP="001E4FD0">
      <w:r>
        <w:t xml:space="preserve">City of Santa Cruz. 2018. Program Effectiveness Assessment Implementation Annual Report. City of Santa Cruz Storm Water Program.  </w:t>
      </w:r>
    </w:p>
    <w:p w14:paraId="11F17F68" w14:textId="0EB2C291" w:rsidR="00AE7B75" w:rsidRPr="007E434D" w:rsidRDefault="00AE7B75" w:rsidP="001E4FD0">
      <w:pPr>
        <w:rPr>
          <w:highlight w:val="yellow"/>
        </w:rPr>
      </w:pPr>
      <w:r>
        <w:t>City of Seattle</w:t>
      </w:r>
      <w:r w:rsidR="000432D5">
        <w:t>.</w:t>
      </w:r>
      <w:r>
        <w:t xml:space="preserve"> 2018. 2018 NPDES Phase I Municipal Stormwater Permit Stormwater Management Program. </w:t>
      </w:r>
    </w:p>
    <w:p w14:paraId="4BF4563B" w14:textId="77777777" w:rsidR="00AE7B75" w:rsidRDefault="00AE7B75" w:rsidP="001E4FD0">
      <w:pPr>
        <w:rPr>
          <w:highlight w:val="yellow"/>
        </w:rPr>
      </w:pPr>
      <w:r w:rsidRPr="007E434D">
        <w:t>Florida Department of Environmental Protection (DEP).</w:t>
      </w:r>
      <w:r>
        <w:t xml:space="preserve"> 2004. DEP Form 62-624.600(2). Effective January 28, 2004, revised November 17, 2016.</w:t>
      </w:r>
    </w:p>
    <w:p w14:paraId="5BD6139E" w14:textId="77777777" w:rsidR="00AE7B75" w:rsidRDefault="00AE7B75" w:rsidP="001E4FD0">
      <w:r w:rsidRPr="007E434D">
        <w:t xml:space="preserve">Florida Department of Environmental Protection (DEP). </w:t>
      </w:r>
      <w:r>
        <w:t xml:space="preserve">2013. NPDES Phase I Municipal Separate Storm Sewer System Permitting Resource Manual. NPDES Stormwater Program, Division of Water Resource Management. Tallahassee, FL. </w:t>
      </w:r>
    </w:p>
    <w:p w14:paraId="37476E6B" w14:textId="05B3A1C6" w:rsidR="00AE7B75" w:rsidRDefault="00AE7B75" w:rsidP="001E4FD0">
      <w:r>
        <w:t xml:space="preserve">Florida Stormwater Association. 2012. MS4 Load Reduction Assessment Tool. </w:t>
      </w:r>
    </w:p>
    <w:p w14:paraId="5751E1F3" w14:textId="4B88964C" w:rsidR="00EF45EB" w:rsidRDefault="00EF45EB" w:rsidP="001E4FD0">
      <w:r>
        <w:t>Law, N., K.</w:t>
      </w:r>
      <w:r>
        <w:t xml:space="preserve"> </w:t>
      </w:r>
      <w:r>
        <w:t xml:space="preserve">DiBlasi, U. Ghosh, B. Stack, S. Stewart, K. Belt, R. </w:t>
      </w:r>
      <w:proofErr w:type="spellStart"/>
      <w:r>
        <w:t>Pouyat</w:t>
      </w:r>
      <w:proofErr w:type="spellEnd"/>
      <w:r>
        <w:t xml:space="preserve"> and C. Welty. 2008. </w:t>
      </w:r>
      <w:r>
        <w:t xml:space="preserve">Deriving reliable pollutant removal rates for municipal street sweeping and storm drain cleanout programs in the Chesapeake Bay basin. Center for Watershed Protection. Ellicott City, MD. </w:t>
      </w:r>
    </w:p>
    <w:p w14:paraId="7446C6BC" w14:textId="36785F46" w:rsidR="00AE7B75" w:rsidRDefault="00AE7B75" w:rsidP="001E4FD0">
      <w:r w:rsidRPr="004C122D">
        <w:t xml:space="preserve">Massachusetts Department of Environmental Protection (MassDEP). 2008a. Massachusetts Stormwater Handbook Volume 1: Overview of Massachusetts Stormwater Standards. Retrieved from </w:t>
      </w:r>
      <w:hyperlink r:id="rId15" w:history="1">
        <w:r w:rsidRPr="0064461F">
          <w:rPr>
            <w:rStyle w:val="Hyperlink"/>
          </w:rPr>
          <w:t>https://www.mass.gov/guides/massachusetts-stormwater-handbook-and-stormwater-standards</w:t>
        </w:r>
      </w:hyperlink>
    </w:p>
    <w:p w14:paraId="584E956C" w14:textId="42EBC1FE" w:rsidR="00AE7B75" w:rsidRDefault="00AE7B75" w:rsidP="001E4FD0">
      <w:r w:rsidRPr="004C122D">
        <w:t xml:space="preserve">Massachusetts Department of Environmental Protection (MassDEP). 2008b. Massachusetts Stormwater Handbook Volume 2, Chapter 1. </w:t>
      </w:r>
      <w:r w:rsidRPr="004C122D">
        <w:rPr>
          <w:i/>
        </w:rPr>
        <w:t xml:space="preserve">Three Components of Stormwater Management. </w:t>
      </w:r>
      <w:r w:rsidRPr="004C122D">
        <w:t xml:space="preserve">Retrieved from </w:t>
      </w:r>
      <w:hyperlink r:id="rId16" w:history="1">
        <w:r w:rsidRPr="0064461F">
          <w:rPr>
            <w:rStyle w:val="Hyperlink"/>
          </w:rPr>
          <w:t>https://www.mass.gov/guides/massachusetts-stormwater-handbook-and-stormwater-standards</w:t>
        </w:r>
      </w:hyperlink>
    </w:p>
    <w:p w14:paraId="4AE1F2D7" w14:textId="697E04A3" w:rsidR="00AE7B75" w:rsidRDefault="00AE7B75" w:rsidP="001E4FD0">
      <w:r w:rsidRPr="004C122D">
        <w:t>Massachusetts Department of Environmental Protection (MassDEP). 2008</w:t>
      </w:r>
      <w:r>
        <w:t xml:space="preserve">c. TSS Removal Calculation Sheet, Version 1. Retrieved from </w:t>
      </w:r>
      <w:hyperlink r:id="rId17" w:anchor="-stormwater-report-tools-" w:history="1">
        <w:r>
          <w:rPr>
            <w:rStyle w:val="Hyperlink"/>
          </w:rPr>
          <w:t>https://www.mass.gov/guides/massachusetts-stormwater-handbook-and-stormwater-standards#-stormwater-report-tools-</w:t>
        </w:r>
      </w:hyperlink>
    </w:p>
    <w:p w14:paraId="51EB3E52" w14:textId="2284D97A" w:rsidR="00AE7B75" w:rsidRDefault="00AE7B75" w:rsidP="001E4FD0">
      <w:r w:rsidRPr="004C122D">
        <w:t>Massachusetts Department of Environmental Protection (MassDEP). 2008</w:t>
      </w:r>
      <w:r>
        <w:t xml:space="preserve">d. </w:t>
      </w:r>
      <w:r w:rsidRPr="004C122D">
        <w:t>Massachusetts Stormwater Handbook</w:t>
      </w:r>
      <w:r>
        <w:t xml:space="preserve">. Volume 3, Chapter 1 Documenting Compliance. </w:t>
      </w:r>
      <w:hyperlink r:id="rId18" w:history="1">
        <w:r w:rsidRPr="0064461F">
          <w:rPr>
            <w:rStyle w:val="Hyperlink"/>
          </w:rPr>
          <w:t>https://www.mass.gov/doc/massachusetts-stormwater-handbook-vol-3-ch-1-documenting-compliance/download</w:t>
        </w:r>
      </w:hyperlink>
    </w:p>
    <w:p w14:paraId="710BDEF9" w14:textId="77777777" w:rsidR="00AE7B75" w:rsidRDefault="00AE7B75" w:rsidP="001E4FD0">
      <w:r>
        <w:t>Milwaukee County. 2017. MS4 Annual Report as part of Menomonee River Watershed-Based MS4 Permit. WPDES Permit No. WI-S065404-1.</w:t>
      </w:r>
    </w:p>
    <w:p w14:paraId="1AF1E9AA" w14:textId="5D97E540" w:rsidR="00AE7B75" w:rsidRPr="00D44982" w:rsidRDefault="00AE7B75" w:rsidP="001E4FD0">
      <w:pPr>
        <w:rPr>
          <w:rFonts w:eastAsia="Times New Roman" w:cs="Times New Roman"/>
          <w:color w:val="000000"/>
        </w:rPr>
      </w:pPr>
      <w:r w:rsidRPr="00D44982">
        <w:rPr>
          <w:rFonts w:eastAsia="Times New Roman" w:cs="Times New Roman"/>
          <w:color w:val="000000"/>
          <w:lang w:val="x-none"/>
        </w:rPr>
        <w:t>North Carolina Department of Environmental Quality</w:t>
      </w:r>
      <w:r w:rsidRPr="00D44982">
        <w:rPr>
          <w:rFonts w:eastAsia="Times New Roman" w:cs="Times New Roman"/>
          <w:color w:val="000000"/>
        </w:rPr>
        <w:t xml:space="preserve"> (NCDEQ). 2018. </w:t>
      </w:r>
      <w:r w:rsidRPr="00D44982">
        <w:rPr>
          <w:rFonts w:eastAsia="Times New Roman" w:cs="Times New Roman"/>
          <w:color w:val="000000"/>
          <w:lang w:val="x-none"/>
        </w:rPr>
        <w:t>Design Specifications and Nutrient Accounting for Street &amp; Storm Drain Cleaning</w:t>
      </w:r>
      <w:r w:rsidRPr="00D44982">
        <w:rPr>
          <w:rFonts w:eastAsia="Times New Roman" w:cs="Times New Roman"/>
          <w:color w:val="000000"/>
        </w:rPr>
        <w:t xml:space="preserve">. Retrieved from </w:t>
      </w:r>
      <w:hyperlink r:id="rId19" w:history="1">
        <w:r w:rsidRPr="00D44982">
          <w:rPr>
            <w:rStyle w:val="Hyperlink"/>
            <w:rFonts w:eastAsia="Times New Roman" w:cs="Times New Roman"/>
          </w:rPr>
          <w:t>https://files.nc.gov/ncdeq/Water%20Quality/Planning/NPU/Nutrient%20Scientific%20Advisory%20Board/2018.09.25-Combined-Street-and-Storm-Drain-Cleaning-FINAL.docx</w:t>
        </w:r>
      </w:hyperlink>
    </w:p>
    <w:p w14:paraId="3D48FA6E" w14:textId="2742B07A" w:rsidR="00AE7B75" w:rsidRDefault="00AE7B75" w:rsidP="001E4FD0">
      <w:pPr>
        <w:rPr>
          <w:rFonts w:eastAsia="Times New Roman" w:cs="Times New Roman"/>
          <w:color w:val="000000"/>
        </w:rPr>
      </w:pPr>
      <w:r>
        <w:rPr>
          <w:rFonts w:eastAsia="Times New Roman" w:cs="Times New Roman"/>
          <w:color w:val="000000"/>
        </w:rPr>
        <w:lastRenderedPageBreak/>
        <w:t xml:space="preserve">Nutrient Scientific Advisory Board. 2018.  Meeting Summary – October 5, 2018.  Retrieved from </w:t>
      </w:r>
      <w:hyperlink r:id="rId20" w:history="1">
        <w:r>
          <w:rPr>
            <w:rStyle w:val="Hyperlink"/>
          </w:rPr>
          <w:t>https://deq.nc.gov/about/divisions/water-resources/planning/nonpoint-source-management/nutrient-scientific-advisory-board/meeting-documents</w:t>
        </w:r>
      </w:hyperlink>
      <w:r>
        <w:t xml:space="preserve">. </w:t>
      </w:r>
    </w:p>
    <w:p w14:paraId="5580676F" w14:textId="11BB52D9" w:rsidR="00AE7B75" w:rsidRDefault="00AE7B75" w:rsidP="001E4FD0">
      <w:proofErr w:type="spellStart"/>
      <w:r>
        <w:t>Schueler</w:t>
      </w:r>
      <w:proofErr w:type="spellEnd"/>
      <w:r>
        <w:t xml:space="preserve">, T, E. Giese, J. Hanson, D. Wood. 2016. </w:t>
      </w:r>
      <w:r w:rsidRPr="00576BCF">
        <w:rPr>
          <w:i/>
        </w:rPr>
        <w:t>Recommendations of the expert panel to define removal rates for street and storm drain cleaning practices</w:t>
      </w:r>
      <w:r>
        <w:t xml:space="preserve">. Retrieved from </w:t>
      </w:r>
      <w:hyperlink r:id="rId21" w:history="1">
        <w:r w:rsidR="00EF45EB" w:rsidRPr="001F70BA">
          <w:rPr>
            <w:rStyle w:val="Hyperlink"/>
          </w:rPr>
          <w:t>https://www.chesapeakebay.net/what/publications/street_sweeping_and_storm_drain_cleaning_expert_panel_report</w:t>
        </w:r>
      </w:hyperlink>
    </w:p>
    <w:p w14:paraId="45237A8A" w14:textId="115F079C" w:rsidR="00EF45EB" w:rsidRDefault="00EF45EB" w:rsidP="001E4FD0">
      <w:r>
        <w:t xml:space="preserve">Seattle Public Utilities (SPU). </w:t>
      </w:r>
      <w:r>
        <w:t xml:space="preserve">2009. Seattle Street Sweeping Pilot Study: Monitoring Report. Herrera Environmental Consultants. </w:t>
      </w:r>
    </w:p>
    <w:p w14:paraId="1F826019" w14:textId="6CB6C46B" w:rsidR="00AE7B75" w:rsidRPr="004E575C" w:rsidRDefault="00AE7B75" w:rsidP="001E4FD0">
      <w:r>
        <w:t>Seattle Public Utilities (SPU). 2017</w:t>
      </w:r>
      <w:r w:rsidR="00EF45EB">
        <w:t>.</w:t>
      </w:r>
      <w:r>
        <w:t xml:space="preserve"> </w:t>
      </w:r>
      <w:r>
        <w:rPr>
          <w:i/>
        </w:rPr>
        <w:t xml:space="preserve">Attachment 84: Effectiveness Study Interim Results and Status </w:t>
      </w:r>
      <w:r w:rsidRPr="004E575C">
        <w:rPr>
          <w:i/>
        </w:rPr>
        <w:t xml:space="preserve">Report. NPDES Phase I Municipal Stormwater Permit. </w:t>
      </w:r>
      <w:r w:rsidRPr="004E575C">
        <w:t xml:space="preserve">Retrieved from </w:t>
      </w:r>
      <w:hyperlink r:id="rId22" w:history="1">
        <w:r w:rsidRPr="004E575C">
          <w:rPr>
            <w:rStyle w:val="Hyperlink"/>
          </w:rPr>
          <w:t>https://www.seattle.gov/util/cs/groups/public/@spu/@drainsew/documents/webcontent/1_063353.pdf</w:t>
        </w:r>
      </w:hyperlink>
    </w:p>
    <w:p w14:paraId="04750DE0" w14:textId="77777777" w:rsidR="00AE7B75" w:rsidRPr="0007524C" w:rsidRDefault="00AE7B75" w:rsidP="001E4FD0">
      <w:r w:rsidRPr="0007524C">
        <w:t xml:space="preserve">The County of Orange, Orange County Flood Control District and Cities of Aliso Viejo, Dana Point, Laguna Beach, Laguna Hills, Laguna Niguel, Laguna Woods, Lake Forest, Mission Viejo, Rancho Santa Margarita, San Clemente, and San Juan Capistrano. 2017. South Orange County Watershed Management Area Water Quality Improvement Plan. Submitted to the San Diego Regional Water Quality Control Board. </w:t>
      </w:r>
    </w:p>
    <w:p w14:paraId="78A54E11" w14:textId="57F529E1" w:rsidR="00AE7B75" w:rsidRDefault="00AE7B75" w:rsidP="001E4FD0">
      <w:pPr>
        <w:rPr>
          <w:highlight w:val="yellow"/>
        </w:rPr>
      </w:pPr>
      <w:r w:rsidRPr="00E72D01">
        <w:t>U.S. Environmental Protection Agency (</w:t>
      </w:r>
      <w:r w:rsidR="000432D5">
        <w:t>US</w:t>
      </w:r>
      <w:r w:rsidRPr="00E72D01">
        <w:t>EPA).</w:t>
      </w:r>
      <w:r>
        <w:t xml:space="preserve"> 2016. BATT: BMP Accounting &amp; Tracking Tool Small MS4 Permit Technical Support Document.</w:t>
      </w:r>
    </w:p>
    <w:p w14:paraId="3631263E" w14:textId="092AEAE4" w:rsidR="00AE7B75" w:rsidRDefault="00AE7B75" w:rsidP="001E4FD0">
      <w:r w:rsidRPr="00E72D01">
        <w:t>U.S. Environmental Protection Agency (</w:t>
      </w:r>
      <w:r w:rsidR="000432D5">
        <w:t>US</w:t>
      </w:r>
      <w:r w:rsidRPr="00E72D01">
        <w:t>EPA). 2017</w:t>
      </w:r>
      <w:r>
        <w:t>a</w:t>
      </w:r>
      <w:r w:rsidRPr="00E72D01">
        <w:t xml:space="preserve">. </w:t>
      </w:r>
      <w:r>
        <w:t xml:space="preserve">2017 </w:t>
      </w:r>
      <w:r w:rsidRPr="00E72D01">
        <w:t xml:space="preserve">New Hampshire Small MS4 General Permit, Appendix F Requirements of Approved Total Maximum Daily Loads. </w:t>
      </w:r>
    </w:p>
    <w:p w14:paraId="6AB5705E" w14:textId="68785724" w:rsidR="00AE7B75" w:rsidRDefault="00AE7B75" w:rsidP="001E4FD0">
      <w:r>
        <w:t>U.S. Environmental Protection Agency (</w:t>
      </w:r>
      <w:r w:rsidR="000432D5">
        <w:t>US</w:t>
      </w:r>
      <w:r>
        <w:t xml:space="preserve">EPA). 2017b. 2017 New Hampshire Small MS4 General Permit, Appendix H Requirements Related to Discharges to Certain Water Quality Limited Waterbodies. </w:t>
      </w:r>
    </w:p>
    <w:p w14:paraId="45C1B7B6" w14:textId="7347DE27" w:rsidR="00AE7B75" w:rsidRPr="00E72D01" w:rsidRDefault="00AE7B75" w:rsidP="001E4FD0">
      <w:r>
        <w:t>U.S. Environmental Protection Agency (</w:t>
      </w:r>
      <w:r w:rsidR="000432D5">
        <w:t>US</w:t>
      </w:r>
      <w:r>
        <w:t xml:space="preserve">EPA). 2017c. General Permits for Stormwater Discharges from Small Municipal Separate Storm Sewer Systems, 2017 New Hampshire Small MS4 General Permit. </w:t>
      </w:r>
    </w:p>
    <w:p w14:paraId="4044B2A8" w14:textId="77777777" w:rsidR="00AE7B75" w:rsidRDefault="00AE7B75" w:rsidP="001E4FD0">
      <w:r w:rsidRPr="003E613F">
        <w:t xml:space="preserve">Vermont Agency of Natural Resources. 2019. Progress Report on River Basin Water Quality Management Planning (Tactical Basin Planning) During 2018, 10 VSA 1253(d). Submitted to the House Committee on Agriculture, Natural Resources, Fish and Wildlife and Senate Committee on Agriculture, Natural Resources and Energy. Submitted by the Vermont Agency of Natural Resources Department of Environmental Conservation Watershed Management Division. </w:t>
      </w:r>
    </w:p>
    <w:p w14:paraId="1A1F16F6" w14:textId="77777777" w:rsidR="00AE7B75" w:rsidRPr="003E613F" w:rsidRDefault="00AE7B75" w:rsidP="001E4FD0">
      <w:r>
        <w:t>Washington Ecology (Ecology). 2019. Western Washington Phase I/Phase II Municipal Stormwater Permit – Draft, Appendix 2 – Total Maximum Daily Load (TMDL) Requirements.</w:t>
      </w:r>
    </w:p>
    <w:p w14:paraId="36DE8A05" w14:textId="77777777" w:rsidR="00AE7B75" w:rsidRDefault="00AE7B75" w:rsidP="001E4FD0">
      <w:pPr>
        <w:rPr>
          <w:rFonts w:eastAsia="Times New Roman" w:cs="Times New Roman"/>
          <w:color w:val="000000"/>
        </w:rPr>
      </w:pPr>
      <w:r w:rsidRPr="002E06FF">
        <w:rPr>
          <w:rFonts w:eastAsia="Times New Roman" w:cs="Times New Roman"/>
          <w:color w:val="000000"/>
        </w:rPr>
        <w:t>Wisconsin Department of Natural Resources (WDNR). (2018). Interim Municipal Phosphorus Reduction Credit for Leaf Management Programs. 2018. Bureau of Watershed Management Program Guidance. Publication number EGAD 3800-2018-1.</w:t>
      </w:r>
    </w:p>
    <w:p w14:paraId="2003F6FE" w14:textId="4887DDE9" w:rsidR="00832985" w:rsidRDefault="00AE7B75" w:rsidP="001E4FD0">
      <w:r>
        <w:t xml:space="preserve">Wood Environment &amp; Infrastructure Solutions, Inc. (Wood). 2019. Los </w:t>
      </w:r>
      <w:proofErr w:type="spellStart"/>
      <w:r>
        <w:t>Pe</w:t>
      </w:r>
      <w:r>
        <w:rPr>
          <w:rFonts w:cstheme="minorHAnsi"/>
        </w:rPr>
        <w:t>ñ</w:t>
      </w:r>
      <w:r>
        <w:t>asquitos</w:t>
      </w:r>
      <w:proofErr w:type="spellEnd"/>
      <w:r>
        <w:t xml:space="preserve"> Watershed Management Area Water Quality Improvement Plan 2017-2018 Annual Report. Submitted by County of San Diego, City of San Diego, City of Del Mar and City of Poway. Prepared by Wood Environment &amp; Infrastructure Solutions, Inc. with </w:t>
      </w:r>
      <w:proofErr w:type="spellStart"/>
      <w:r>
        <w:t>DMax</w:t>
      </w:r>
      <w:proofErr w:type="spellEnd"/>
      <w:r>
        <w:t>.</w:t>
      </w:r>
      <w:r w:rsidR="00E1414D">
        <w:t xml:space="preserve"> </w:t>
      </w:r>
    </w:p>
    <w:p w14:paraId="224EB182" w14:textId="77777777" w:rsidR="00832985" w:rsidRDefault="00832985" w:rsidP="004E14C3"/>
    <w:p w14:paraId="0A7A9A19" w14:textId="1C76593F" w:rsidR="00832985" w:rsidRDefault="00832985" w:rsidP="004E14C3"/>
    <w:p w14:paraId="034A8727" w14:textId="5D2F9EA9" w:rsidR="00832985" w:rsidRDefault="00832985" w:rsidP="004E14C3"/>
    <w:p w14:paraId="06E69BC8" w14:textId="77777777" w:rsidR="00832985" w:rsidRDefault="00832985" w:rsidP="004E14C3"/>
    <w:sectPr w:rsidR="00832985" w:rsidSect="00067AEF">
      <w:headerReference w:type="first" r:id="rId23"/>
      <w:footerReference w:type="first" r:id="rId24"/>
      <w:pgSz w:w="12240" w:h="15840"/>
      <w:pgMar w:top="1440" w:right="1080" w:bottom="1440" w:left="1080" w:header="648"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6994E" w14:textId="77777777" w:rsidR="0059477F" w:rsidRDefault="0059477F" w:rsidP="00F859C6">
      <w:r>
        <w:separator/>
      </w:r>
    </w:p>
    <w:p w14:paraId="1964113E" w14:textId="77777777" w:rsidR="0059477F" w:rsidRDefault="0059477F"/>
  </w:endnote>
  <w:endnote w:type="continuationSeparator" w:id="0">
    <w:p w14:paraId="34DF508B" w14:textId="77777777" w:rsidR="0059477F" w:rsidRDefault="0059477F" w:rsidP="00F859C6">
      <w:r>
        <w:continuationSeparator/>
      </w:r>
    </w:p>
    <w:p w14:paraId="7621B9C3" w14:textId="77777777" w:rsidR="0059477F" w:rsidRDefault="00594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ADFD" w14:textId="41B26892" w:rsidR="0059477F" w:rsidRDefault="0059477F" w:rsidP="009D1607">
    <w:pPr>
      <w:pStyle w:val="TtFooter-EntityName"/>
      <w:tabs>
        <w:tab w:val="center" w:pos="5040"/>
        <w:tab w:val="right" w:pos="10080"/>
      </w:tabs>
      <w:jc w:val="center"/>
    </w:pPr>
    <w:r>
      <w:rPr>
        <w:rStyle w:val="TtFooter-AddressLineChar"/>
      </w:rPr>
      <w:tab/>
    </w:r>
    <w:r w:rsidRPr="003F73A5">
      <w:rPr>
        <w:rStyle w:val="TtFooter-AddressLineChar"/>
      </w:rPr>
      <w:fldChar w:fldCharType="begin"/>
    </w:r>
    <w:r w:rsidRPr="003F73A5">
      <w:rPr>
        <w:rStyle w:val="TtFooter-AddressLineChar"/>
      </w:rPr>
      <w:instrText xml:space="preserve"> PAGE   \* MERGEFORMAT </w:instrText>
    </w:r>
    <w:r w:rsidRPr="003F73A5">
      <w:rPr>
        <w:rStyle w:val="TtFooter-AddressLineChar"/>
      </w:rPr>
      <w:fldChar w:fldCharType="separate"/>
    </w:r>
    <w:r>
      <w:rPr>
        <w:rStyle w:val="TtFooter-AddressLineChar"/>
        <w:noProof/>
      </w:rPr>
      <w:t>20</w:t>
    </w:r>
    <w:r w:rsidRPr="003F73A5">
      <w:rPr>
        <w:rStyle w:val="TtFooter-AddressLineChar"/>
      </w:rPr>
      <w:fldChar w:fldCharType="end"/>
    </w:r>
    <w:r>
      <w:rPr>
        <w:rStyle w:val="TtFooter-AddressLineChar"/>
      </w:rPr>
      <w:tab/>
    </w:r>
    <w:r>
      <w:t>TETRA TECH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90BC" w14:textId="1D5A22C9" w:rsidR="0059477F" w:rsidRPr="00045E39" w:rsidRDefault="0059477F" w:rsidP="00045E39">
    <w:pPr>
      <w:pStyle w:val="TtFooter-EntityName"/>
    </w:pPr>
    <w:r>
      <w:t>Tetra Tech, Inc.</w:t>
    </w:r>
  </w:p>
  <w:p w14:paraId="62C564F8" w14:textId="09ED0CBF" w:rsidR="0059477F" w:rsidRPr="00045E39" w:rsidRDefault="0059477F" w:rsidP="00045E39">
    <w:pPr>
      <w:pStyle w:val="TtFooter-AddressLine"/>
    </w:pPr>
    <w:r>
      <w:t xml:space="preserve">413 </w:t>
    </w:r>
    <w:proofErr w:type="spellStart"/>
    <w:r>
      <w:t>Wacouta</w:t>
    </w:r>
    <w:proofErr w:type="spellEnd"/>
    <w:r>
      <w:t xml:space="preserve"> Street, Suite 435, Saint Paul, MN 55101</w:t>
    </w:r>
  </w:p>
  <w:p w14:paraId="2C5D3202" w14:textId="26B95CB2" w:rsidR="0059477F" w:rsidRDefault="0059477F" w:rsidP="009D1607">
    <w:pPr>
      <w:pStyle w:val="Footer"/>
      <w:jc w:val="right"/>
    </w:pPr>
    <w:r w:rsidRPr="00045E39">
      <w:rPr>
        <w:rStyle w:val="TtFooter-LabelChar"/>
      </w:rPr>
      <w:t>tetratech.com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EC8A" w14:textId="78E79140" w:rsidR="0059477F" w:rsidRPr="00067AEF" w:rsidRDefault="0059477F" w:rsidP="00067AEF">
    <w:pPr>
      <w:pStyle w:val="TtFooter-EntityName"/>
      <w:tabs>
        <w:tab w:val="center" w:pos="5040"/>
        <w:tab w:val="right" w:pos="10080"/>
      </w:tabs>
      <w:jc w:val="center"/>
    </w:pPr>
    <w:r>
      <w:rPr>
        <w:rStyle w:val="TtFooter-AddressLineChar"/>
      </w:rPr>
      <w:tab/>
    </w:r>
    <w:r w:rsidRPr="003F73A5">
      <w:rPr>
        <w:rStyle w:val="TtFooter-AddressLineChar"/>
      </w:rPr>
      <w:fldChar w:fldCharType="begin"/>
    </w:r>
    <w:r w:rsidRPr="003F73A5">
      <w:rPr>
        <w:rStyle w:val="TtFooter-AddressLineChar"/>
      </w:rPr>
      <w:instrText xml:space="preserve"> PAGE   \* MERGEFORMAT </w:instrText>
    </w:r>
    <w:r w:rsidRPr="003F73A5">
      <w:rPr>
        <w:rStyle w:val="TtFooter-AddressLineChar"/>
      </w:rPr>
      <w:fldChar w:fldCharType="separate"/>
    </w:r>
    <w:r>
      <w:rPr>
        <w:rStyle w:val="TtFooter-AddressLineChar"/>
        <w:noProof/>
      </w:rPr>
      <w:t>33</w:t>
    </w:r>
    <w:r w:rsidRPr="003F73A5">
      <w:rPr>
        <w:rStyle w:val="TtFooter-AddressLineChar"/>
      </w:rPr>
      <w:fldChar w:fldCharType="end"/>
    </w:r>
    <w:r>
      <w:rPr>
        <w:rStyle w:val="TtFooter-AddressLineChar"/>
      </w:rPr>
      <w:tab/>
    </w:r>
    <w:r>
      <w:t>TETRA TECH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559EC" w14:textId="77777777" w:rsidR="0059477F" w:rsidRDefault="0059477F" w:rsidP="00F859C6">
      <w:r>
        <w:separator/>
      </w:r>
    </w:p>
    <w:p w14:paraId="2DC77C64" w14:textId="77777777" w:rsidR="0059477F" w:rsidRDefault="0059477F"/>
  </w:footnote>
  <w:footnote w:type="continuationSeparator" w:id="0">
    <w:p w14:paraId="4F8E1AE8" w14:textId="77777777" w:rsidR="0059477F" w:rsidRDefault="0059477F" w:rsidP="00F859C6">
      <w:r>
        <w:continuationSeparator/>
      </w:r>
    </w:p>
    <w:p w14:paraId="19AB26AD" w14:textId="77777777" w:rsidR="0059477F" w:rsidRDefault="005947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0633B" w14:textId="79767340" w:rsidR="0059477F" w:rsidRDefault="0059477F" w:rsidP="00001C2E">
    <w:pPr>
      <w:pStyle w:val="TtHeader-Title1"/>
    </w:pPr>
    <w:r w:rsidRPr="00A4707C">
      <w:rPr>
        <w:noProof/>
      </w:rPr>
      <w:drawing>
        <wp:anchor distT="0" distB="594360" distL="0" distR="0" simplePos="0" relativeHeight="251659264" behindDoc="1" locked="0" layoutInCell="1" allowOverlap="1" wp14:anchorId="2F5BC3ED" wp14:editId="1FA3A259">
          <wp:simplePos x="0" y="0"/>
          <wp:positionH relativeFrom="margin">
            <wp:align>left</wp:align>
          </wp:positionH>
          <wp:positionV relativeFrom="paragraph">
            <wp:posOffset>3810</wp:posOffset>
          </wp:positionV>
          <wp:extent cx="1947672" cy="512647"/>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7672" cy="5126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07C">
      <w:t>MEMO</w:t>
    </w:r>
  </w:p>
  <w:p w14:paraId="4E154C1B" w14:textId="77777777" w:rsidR="0059477F" w:rsidRDefault="0059477F"/>
  <w:p w14:paraId="4940959B" w14:textId="77777777" w:rsidR="0059477F" w:rsidRDefault="0059477F"/>
  <w:p w14:paraId="6DB09A77" w14:textId="77777777" w:rsidR="0059477F" w:rsidRDefault="005947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C6E4A" w14:textId="77777777" w:rsidR="0059477F" w:rsidRDefault="0059477F" w:rsidP="000D42BF">
    <w:pPr>
      <w:spacing w:after="0"/>
    </w:pPr>
  </w:p>
  <w:p w14:paraId="4CAFEDEA" w14:textId="77777777" w:rsidR="0059477F" w:rsidRPr="004B64CE" w:rsidRDefault="0059477F" w:rsidP="000D42BF">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42D"/>
    <w:multiLevelType w:val="hybridMultilevel"/>
    <w:tmpl w:val="9CE0D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2721C"/>
    <w:multiLevelType w:val="multilevel"/>
    <w:tmpl w:val="856ACDC0"/>
    <w:lvl w:ilvl="0">
      <w:start w:val="1"/>
      <w:numFmt w:val="bullet"/>
      <w:pStyle w:val="TableBullet"/>
      <w:lvlText w:val=""/>
      <w:lvlJc w:val="left"/>
      <w:pPr>
        <w:tabs>
          <w:tab w:val="num" w:pos="288"/>
        </w:tabs>
        <w:ind w:left="288" w:hanging="216"/>
      </w:pPr>
      <w:rPr>
        <w:rFonts w:ascii="Symbol" w:hAnsi="Symbol" w:hint="default"/>
        <w:sz w:val="20"/>
      </w:rPr>
    </w:lvl>
    <w:lvl w:ilvl="1">
      <w:start w:val="1"/>
      <w:numFmt w:val="bullet"/>
      <w:lvlText w:val="o"/>
      <w:lvlJc w:val="left"/>
      <w:pPr>
        <w:tabs>
          <w:tab w:val="num" w:pos="504"/>
        </w:tabs>
        <w:ind w:left="504" w:hanging="216"/>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51686"/>
    <w:multiLevelType w:val="hybridMultilevel"/>
    <w:tmpl w:val="6E1CABCC"/>
    <w:lvl w:ilvl="0" w:tplc="FFE6D9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0FF7"/>
    <w:multiLevelType w:val="hybridMultilevel"/>
    <w:tmpl w:val="2E0A79D6"/>
    <w:lvl w:ilvl="0" w:tplc="6FAEE318">
      <w:start w:val="1"/>
      <w:numFmt w:val="bullet"/>
      <w:pStyle w:val="TableBullet2"/>
      <w:lvlText w:val="o"/>
      <w:lvlJc w:val="left"/>
      <w:pPr>
        <w:tabs>
          <w:tab w:val="num" w:pos="504"/>
        </w:tabs>
        <w:ind w:left="504"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32079"/>
    <w:multiLevelType w:val="hybridMultilevel"/>
    <w:tmpl w:val="F2FC4A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838719E"/>
    <w:multiLevelType w:val="multilevel"/>
    <w:tmpl w:val="DBA87A80"/>
    <w:styleLink w:val="Headings"/>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6" w15:restartNumberingAfterBreak="0">
    <w:nsid w:val="09593E74"/>
    <w:multiLevelType w:val="hybridMultilevel"/>
    <w:tmpl w:val="588E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D4D55"/>
    <w:multiLevelType w:val="hybridMultilevel"/>
    <w:tmpl w:val="17FEE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282F64"/>
    <w:multiLevelType w:val="hybridMultilevel"/>
    <w:tmpl w:val="C71E3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A2908"/>
    <w:multiLevelType w:val="hybridMultilevel"/>
    <w:tmpl w:val="A5F2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61CE8"/>
    <w:multiLevelType w:val="hybridMultilevel"/>
    <w:tmpl w:val="692C22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A2878"/>
    <w:multiLevelType w:val="hybridMultilevel"/>
    <w:tmpl w:val="692C22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97E2E"/>
    <w:multiLevelType w:val="hybridMultilevel"/>
    <w:tmpl w:val="474EF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BA7443"/>
    <w:multiLevelType w:val="hybridMultilevel"/>
    <w:tmpl w:val="2526A7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9701E"/>
    <w:multiLevelType w:val="hybridMultilevel"/>
    <w:tmpl w:val="E78C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734345"/>
    <w:multiLevelType w:val="hybridMultilevel"/>
    <w:tmpl w:val="BEDEC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DB48DA"/>
    <w:multiLevelType w:val="hybridMultilevel"/>
    <w:tmpl w:val="0DE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F714C8"/>
    <w:multiLevelType w:val="hybridMultilevel"/>
    <w:tmpl w:val="FA9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5D3946"/>
    <w:multiLevelType w:val="hybridMultilevel"/>
    <w:tmpl w:val="C40C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3F014A"/>
    <w:multiLevelType w:val="hybridMultilevel"/>
    <w:tmpl w:val="FBD8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4774D7"/>
    <w:multiLevelType w:val="hybridMultilevel"/>
    <w:tmpl w:val="61B24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30B05BE"/>
    <w:multiLevelType w:val="hybridMultilevel"/>
    <w:tmpl w:val="D250B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9D7ED3"/>
    <w:multiLevelType w:val="hybridMultilevel"/>
    <w:tmpl w:val="7980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76554C"/>
    <w:multiLevelType w:val="hybridMultilevel"/>
    <w:tmpl w:val="692C22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6E42CB"/>
    <w:multiLevelType w:val="multilevel"/>
    <w:tmpl w:val="60922F94"/>
    <w:lvl w:ilvl="0">
      <w:start w:val="1"/>
      <w:numFmt w:val="bullet"/>
      <w:lvlText w:val=""/>
      <w:lvlJc w:val="left"/>
      <w:pPr>
        <w:tabs>
          <w:tab w:val="num" w:pos="720"/>
        </w:tabs>
        <w:ind w:left="720" w:hanging="360"/>
      </w:pPr>
      <w:rPr>
        <w:rFonts w:ascii="Symbol" w:hAnsi="Symbol" w:hint="default"/>
        <w:sz w:val="20"/>
      </w:rPr>
    </w:lvl>
    <w:lvl w:ilvl="1">
      <w:start w:val="1"/>
      <w:numFmt w:val="bullet"/>
      <w:pStyle w:val="ListBullet2"/>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6B6CF8"/>
    <w:multiLevelType w:val="hybridMultilevel"/>
    <w:tmpl w:val="4F782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E718B5"/>
    <w:multiLevelType w:val="hybridMultilevel"/>
    <w:tmpl w:val="0002C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8C696F"/>
    <w:multiLevelType w:val="hybridMultilevel"/>
    <w:tmpl w:val="124EA2B6"/>
    <w:lvl w:ilvl="0" w:tplc="623AB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E70966"/>
    <w:multiLevelType w:val="hybridMultilevel"/>
    <w:tmpl w:val="6DA6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7C4E86"/>
    <w:multiLevelType w:val="hybridMultilevel"/>
    <w:tmpl w:val="3FC84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6D5155"/>
    <w:multiLevelType w:val="hybridMultilevel"/>
    <w:tmpl w:val="F1FA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13147AB"/>
    <w:multiLevelType w:val="hybridMultilevel"/>
    <w:tmpl w:val="79E48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871340"/>
    <w:multiLevelType w:val="hybridMultilevel"/>
    <w:tmpl w:val="685E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FA4D36"/>
    <w:multiLevelType w:val="hybridMultilevel"/>
    <w:tmpl w:val="895E3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E5C6043"/>
    <w:multiLevelType w:val="hybridMultilevel"/>
    <w:tmpl w:val="50FEB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F97B94"/>
    <w:multiLevelType w:val="hybridMultilevel"/>
    <w:tmpl w:val="5A062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3D2E00"/>
    <w:multiLevelType w:val="hybridMultilevel"/>
    <w:tmpl w:val="C44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513C6C"/>
    <w:multiLevelType w:val="hybridMultilevel"/>
    <w:tmpl w:val="0770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B0FBC"/>
    <w:multiLevelType w:val="hybridMultilevel"/>
    <w:tmpl w:val="A4641D42"/>
    <w:lvl w:ilvl="0" w:tplc="04090001">
      <w:start w:val="1"/>
      <w:numFmt w:val="bullet"/>
      <w:lvlText w:val=""/>
      <w:lvlJc w:val="left"/>
      <w:pPr>
        <w:ind w:left="720" w:hanging="360"/>
      </w:pPr>
      <w:rPr>
        <w:rFonts w:ascii="Symbol" w:hAnsi="Symbol" w:hint="default"/>
      </w:rPr>
    </w:lvl>
    <w:lvl w:ilvl="1" w:tplc="559A70C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5D374C"/>
    <w:multiLevelType w:val="hybridMultilevel"/>
    <w:tmpl w:val="3738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886E1E"/>
    <w:multiLevelType w:val="hybridMultilevel"/>
    <w:tmpl w:val="AC26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7850BD"/>
    <w:multiLevelType w:val="hybridMultilevel"/>
    <w:tmpl w:val="DFFE8D90"/>
    <w:lvl w:ilvl="0" w:tplc="1A28E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894432"/>
    <w:multiLevelType w:val="hybridMultilevel"/>
    <w:tmpl w:val="09E4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6910D5"/>
    <w:multiLevelType w:val="hybridMultilevel"/>
    <w:tmpl w:val="D708D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8A4872"/>
    <w:multiLevelType w:val="hybridMultilevel"/>
    <w:tmpl w:val="23F8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D131EE"/>
    <w:multiLevelType w:val="hybridMultilevel"/>
    <w:tmpl w:val="56C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30431D"/>
    <w:multiLevelType w:val="hybridMultilevel"/>
    <w:tmpl w:val="89A86AC4"/>
    <w:lvl w:ilvl="0" w:tplc="04090001">
      <w:start w:val="1"/>
      <w:numFmt w:val="bullet"/>
      <w:lvlText w:val=""/>
      <w:lvlJc w:val="left"/>
      <w:pPr>
        <w:ind w:left="720" w:hanging="360"/>
      </w:pPr>
      <w:rPr>
        <w:rFonts w:ascii="Symbol" w:hAnsi="Symbol" w:hint="default"/>
      </w:rPr>
    </w:lvl>
    <w:lvl w:ilvl="1" w:tplc="631E03B6">
      <w:numFmt w:val="bullet"/>
      <w:lvlText w:val="•"/>
      <w:lvlJc w:val="left"/>
      <w:pPr>
        <w:ind w:left="1800" w:hanging="72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46310E"/>
    <w:multiLevelType w:val="hybridMultilevel"/>
    <w:tmpl w:val="5D0E7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F97E79"/>
    <w:multiLevelType w:val="hybridMultilevel"/>
    <w:tmpl w:val="124EA2B6"/>
    <w:lvl w:ilvl="0" w:tplc="623AB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EB6DF9"/>
    <w:multiLevelType w:val="hybridMultilevel"/>
    <w:tmpl w:val="54E0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D60438"/>
    <w:multiLevelType w:val="multilevel"/>
    <w:tmpl w:val="DBA87A80"/>
    <w:numStyleLink w:val="Headings"/>
  </w:abstractNum>
  <w:abstractNum w:abstractNumId="51" w15:restartNumberingAfterBreak="0">
    <w:nsid w:val="7AE61DD4"/>
    <w:multiLevelType w:val="hybridMultilevel"/>
    <w:tmpl w:val="0904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2E5C7F"/>
    <w:multiLevelType w:val="hybridMultilevel"/>
    <w:tmpl w:val="90F0D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B5F4AB3"/>
    <w:multiLevelType w:val="hybridMultilevel"/>
    <w:tmpl w:val="CA6E91A6"/>
    <w:lvl w:ilvl="0" w:tplc="2A9E4570">
      <w:start w:val="1"/>
      <w:numFmt w:val="bullet"/>
      <w:pStyle w:val="PCABulletLevel1"/>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EB00090"/>
    <w:multiLevelType w:val="multilevel"/>
    <w:tmpl w:val="FEE66EA0"/>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tabs>
          <w:tab w:val="num" w:pos="504"/>
        </w:tabs>
        <w:ind w:left="504" w:hanging="216"/>
      </w:pPr>
      <w:rPr>
        <w:rFonts w:ascii="Courier New" w:hAnsi="Courier New" w:hint="default"/>
        <w:sz w:val="20"/>
      </w:rPr>
    </w:lvl>
    <w:lvl w:ilvl="2">
      <w:start w:val="1"/>
      <w:numFmt w:val="bullet"/>
      <w:pStyle w:val="ListBullet3"/>
      <w:lvlText w:val=""/>
      <w:lvlJc w:val="left"/>
      <w:pPr>
        <w:tabs>
          <w:tab w:val="num" w:pos="2160"/>
        </w:tabs>
        <w:ind w:left="2160" w:hanging="360"/>
      </w:pPr>
      <w:rPr>
        <w:rFonts w:ascii="Wingdings" w:hAnsi="Wingdings" w:hint="default"/>
        <w:sz w:val="20"/>
      </w:rPr>
    </w:lvl>
    <w:lvl w:ilvl="3">
      <w:start w:val="1"/>
      <w:numFmt w:val="bullet"/>
      <w:pStyle w:val="ListBullet4"/>
      <w:lvlText w:val=""/>
      <w:lvlJc w:val="left"/>
      <w:pPr>
        <w:tabs>
          <w:tab w:val="num" w:pos="2880"/>
        </w:tabs>
        <w:ind w:left="2880" w:hanging="360"/>
      </w:pPr>
      <w:rPr>
        <w:rFonts w:ascii="Wingdings" w:hAnsi="Wingdings" w:hint="default"/>
        <w:sz w:val="20"/>
      </w:rPr>
    </w:lvl>
    <w:lvl w:ilvl="4">
      <w:start w:val="1"/>
      <w:numFmt w:val="bullet"/>
      <w:pStyle w:val="ListBullet5"/>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0357DF"/>
    <w:multiLevelType w:val="hybridMultilevel"/>
    <w:tmpl w:val="FD508208"/>
    <w:lvl w:ilvl="0" w:tplc="AF4A51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4"/>
  </w:num>
  <w:num w:numId="3">
    <w:abstractNumId w:val="55"/>
  </w:num>
  <w:num w:numId="4">
    <w:abstractNumId w:val="24"/>
  </w:num>
  <w:num w:numId="5">
    <w:abstractNumId w:val="3"/>
  </w:num>
  <w:num w:numId="6">
    <w:abstractNumId w:val="5"/>
  </w:num>
  <w:num w:numId="7">
    <w:abstractNumId w:val="50"/>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0" w:firstLine="0"/>
        </w:pPr>
        <w:rPr>
          <w:rFonts w:hint="default"/>
        </w:rPr>
      </w:lvl>
    </w:lvlOverride>
  </w:num>
  <w:num w:numId="8">
    <w:abstractNumId w:val="16"/>
  </w:num>
  <w:num w:numId="9">
    <w:abstractNumId w:val="10"/>
  </w:num>
  <w:num w:numId="10">
    <w:abstractNumId w:val="52"/>
  </w:num>
  <w:num w:numId="11">
    <w:abstractNumId w:val="33"/>
  </w:num>
  <w:num w:numId="12">
    <w:abstractNumId w:val="38"/>
  </w:num>
  <w:num w:numId="13">
    <w:abstractNumId w:val="30"/>
  </w:num>
  <w:num w:numId="14">
    <w:abstractNumId w:val="11"/>
  </w:num>
  <w:num w:numId="15">
    <w:abstractNumId w:val="4"/>
  </w:num>
  <w:num w:numId="16">
    <w:abstractNumId w:val="23"/>
  </w:num>
  <w:num w:numId="17">
    <w:abstractNumId w:val="45"/>
  </w:num>
  <w:num w:numId="18">
    <w:abstractNumId w:val="49"/>
  </w:num>
  <w:num w:numId="19">
    <w:abstractNumId w:val="25"/>
  </w:num>
  <w:num w:numId="20">
    <w:abstractNumId w:val="21"/>
  </w:num>
  <w:num w:numId="21">
    <w:abstractNumId w:val="44"/>
  </w:num>
  <w:num w:numId="22">
    <w:abstractNumId w:val="20"/>
  </w:num>
  <w:num w:numId="23">
    <w:abstractNumId w:val="37"/>
  </w:num>
  <w:num w:numId="24">
    <w:abstractNumId w:val="29"/>
  </w:num>
  <w:num w:numId="25">
    <w:abstractNumId w:val="22"/>
  </w:num>
  <w:num w:numId="26">
    <w:abstractNumId w:val="46"/>
  </w:num>
  <w:num w:numId="27">
    <w:abstractNumId w:val="17"/>
  </w:num>
  <w:num w:numId="28">
    <w:abstractNumId w:val="32"/>
  </w:num>
  <w:num w:numId="29">
    <w:abstractNumId w:val="41"/>
  </w:num>
  <w:num w:numId="30">
    <w:abstractNumId w:val="43"/>
  </w:num>
  <w:num w:numId="31">
    <w:abstractNumId w:val="39"/>
  </w:num>
  <w:num w:numId="32">
    <w:abstractNumId w:val="15"/>
  </w:num>
  <w:num w:numId="33">
    <w:abstractNumId w:val="28"/>
  </w:num>
  <w:num w:numId="34">
    <w:abstractNumId w:val="40"/>
  </w:num>
  <w:num w:numId="35">
    <w:abstractNumId w:val="35"/>
  </w:num>
  <w:num w:numId="36">
    <w:abstractNumId w:val="42"/>
  </w:num>
  <w:num w:numId="37">
    <w:abstractNumId w:val="26"/>
  </w:num>
  <w:num w:numId="38">
    <w:abstractNumId w:val="18"/>
  </w:num>
  <w:num w:numId="39">
    <w:abstractNumId w:val="31"/>
  </w:num>
  <w:num w:numId="40">
    <w:abstractNumId w:val="14"/>
  </w:num>
  <w:num w:numId="41">
    <w:abstractNumId w:val="47"/>
  </w:num>
  <w:num w:numId="42">
    <w:abstractNumId w:val="9"/>
  </w:num>
  <w:num w:numId="43">
    <w:abstractNumId w:val="13"/>
  </w:num>
  <w:num w:numId="44">
    <w:abstractNumId w:val="6"/>
  </w:num>
  <w:num w:numId="45">
    <w:abstractNumId w:val="53"/>
  </w:num>
  <w:num w:numId="46">
    <w:abstractNumId w:val="34"/>
  </w:num>
  <w:num w:numId="47">
    <w:abstractNumId w:val="19"/>
  </w:num>
  <w:num w:numId="48">
    <w:abstractNumId w:val="50"/>
  </w:num>
  <w:num w:numId="49">
    <w:abstractNumId w:val="12"/>
  </w:num>
  <w:num w:numId="50">
    <w:abstractNumId w:val="8"/>
  </w:num>
  <w:num w:numId="51">
    <w:abstractNumId w:val="27"/>
  </w:num>
  <w:num w:numId="52">
    <w:abstractNumId w:val="2"/>
  </w:num>
  <w:num w:numId="53">
    <w:abstractNumId w:val="0"/>
  </w:num>
  <w:num w:numId="54">
    <w:abstractNumId w:val="7"/>
  </w:num>
  <w:num w:numId="55">
    <w:abstractNumId w:val="50"/>
  </w:num>
  <w:num w:numId="56">
    <w:abstractNumId w:val="48"/>
  </w:num>
  <w:num w:numId="57">
    <w:abstractNumId w:val="51"/>
  </w:num>
  <w:num w:numId="58">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1B"/>
    <w:rsid w:val="0000059B"/>
    <w:rsid w:val="00000D82"/>
    <w:rsid w:val="00000FAE"/>
    <w:rsid w:val="00001638"/>
    <w:rsid w:val="00001C2E"/>
    <w:rsid w:val="00006B3A"/>
    <w:rsid w:val="000124E9"/>
    <w:rsid w:val="0001395D"/>
    <w:rsid w:val="00013ED1"/>
    <w:rsid w:val="00022247"/>
    <w:rsid w:val="00022803"/>
    <w:rsid w:val="00023F96"/>
    <w:rsid w:val="00024C79"/>
    <w:rsid w:val="00026108"/>
    <w:rsid w:val="0002724E"/>
    <w:rsid w:val="00027FD3"/>
    <w:rsid w:val="00031571"/>
    <w:rsid w:val="00035E25"/>
    <w:rsid w:val="000423E8"/>
    <w:rsid w:val="00042712"/>
    <w:rsid w:val="000432D5"/>
    <w:rsid w:val="00045B2F"/>
    <w:rsid w:val="00045E39"/>
    <w:rsid w:val="000470B7"/>
    <w:rsid w:val="00050F6D"/>
    <w:rsid w:val="000532E4"/>
    <w:rsid w:val="00053A9A"/>
    <w:rsid w:val="00057410"/>
    <w:rsid w:val="00057B87"/>
    <w:rsid w:val="000603CF"/>
    <w:rsid w:val="0006466D"/>
    <w:rsid w:val="00064DDB"/>
    <w:rsid w:val="000650BF"/>
    <w:rsid w:val="00067AEF"/>
    <w:rsid w:val="00074A02"/>
    <w:rsid w:val="00081477"/>
    <w:rsid w:val="00081DEE"/>
    <w:rsid w:val="00083E1B"/>
    <w:rsid w:val="00084B38"/>
    <w:rsid w:val="00091952"/>
    <w:rsid w:val="00091B20"/>
    <w:rsid w:val="00091E51"/>
    <w:rsid w:val="000954AC"/>
    <w:rsid w:val="000A0336"/>
    <w:rsid w:val="000A5E1D"/>
    <w:rsid w:val="000A6404"/>
    <w:rsid w:val="000B7D7A"/>
    <w:rsid w:val="000C05CF"/>
    <w:rsid w:val="000C1506"/>
    <w:rsid w:val="000C2F21"/>
    <w:rsid w:val="000C6A1B"/>
    <w:rsid w:val="000D1FC2"/>
    <w:rsid w:val="000D2CDF"/>
    <w:rsid w:val="000D3B6A"/>
    <w:rsid w:val="000D42BF"/>
    <w:rsid w:val="000D5C60"/>
    <w:rsid w:val="000D5D09"/>
    <w:rsid w:val="000E0C02"/>
    <w:rsid w:val="000E1556"/>
    <w:rsid w:val="000E15BC"/>
    <w:rsid w:val="000E2454"/>
    <w:rsid w:val="000E4631"/>
    <w:rsid w:val="000E613F"/>
    <w:rsid w:val="000F5716"/>
    <w:rsid w:val="000F75A3"/>
    <w:rsid w:val="00105E6A"/>
    <w:rsid w:val="00105F72"/>
    <w:rsid w:val="00106E50"/>
    <w:rsid w:val="0010717B"/>
    <w:rsid w:val="00111085"/>
    <w:rsid w:val="00120223"/>
    <w:rsid w:val="001248EE"/>
    <w:rsid w:val="00125E7B"/>
    <w:rsid w:val="00131116"/>
    <w:rsid w:val="00132E94"/>
    <w:rsid w:val="0014058A"/>
    <w:rsid w:val="00141DDE"/>
    <w:rsid w:val="00142E65"/>
    <w:rsid w:val="00144254"/>
    <w:rsid w:val="00144CA6"/>
    <w:rsid w:val="00150134"/>
    <w:rsid w:val="001540FF"/>
    <w:rsid w:val="0015482A"/>
    <w:rsid w:val="0015669C"/>
    <w:rsid w:val="00157004"/>
    <w:rsid w:val="00157654"/>
    <w:rsid w:val="00157C0E"/>
    <w:rsid w:val="001632FB"/>
    <w:rsid w:val="00163EBB"/>
    <w:rsid w:val="00163F5F"/>
    <w:rsid w:val="00167097"/>
    <w:rsid w:val="001676C3"/>
    <w:rsid w:val="00167886"/>
    <w:rsid w:val="0017091C"/>
    <w:rsid w:val="0017169C"/>
    <w:rsid w:val="00172544"/>
    <w:rsid w:val="001726BD"/>
    <w:rsid w:val="00173349"/>
    <w:rsid w:val="001743DF"/>
    <w:rsid w:val="0017796D"/>
    <w:rsid w:val="0018133A"/>
    <w:rsid w:val="00181E1D"/>
    <w:rsid w:val="00182EE6"/>
    <w:rsid w:val="00183F2C"/>
    <w:rsid w:val="00184896"/>
    <w:rsid w:val="00186C25"/>
    <w:rsid w:val="00186F69"/>
    <w:rsid w:val="00190662"/>
    <w:rsid w:val="0019145F"/>
    <w:rsid w:val="00191879"/>
    <w:rsid w:val="001970B8"/>
    <w:rsid w:val="001971AD"/>
    <w:rsid w:val="001A240D"/>
    <w:rsid w:val="001A2D3A"/>
    <w:rsid w:val="001B2E68"/>
    <w:rsid w:val="001C0A15"/>
    <w:rsid w:val="001C5F5E"/>
    <w:rsid w:val="001C708D"/>
    <w:rsid w:val="001C731F"/>
    <w:rsid w:val="001C7856"/>
    <w:rsid w:val="001D2103"/>
    <w:rsid w:val="001D3520"/>
    <w:rsid w:val="001D4379"/>
    <w:rsid w:val="001D4ECA"/>
    <w:rsid w:val="001D5C1B"/>
    <w:rsid w:val="001E0194"/>
    <w:rsid w:val="001E0D1C"/>
    <w:rsid w:val="001E0F1F"/>
    <w:rsid w:val="001E4FD0"/>
    <w:rsid w:val="001E6550"/>
    <w:rsid w:val="001F033F"/>
    <w:rsid w:val="001F1F26"/>
    <w:rsid w:val="001F3242"/>
    <w:rsid w:val="001F4BB2"/>
    <w:rsid w:val="001F4E28"/>
    <w:rsid w:val="001F7F47"/>
    <w:rsid w:val="0020062A"/>
    <w:rsid w:val="002020AE"/>
    <w:rsid w:val="00203C5B"/>
    <w:rsid w:val="002052CD"/>
    <w:rsid w:val="00210C42"/>
    <w:rsid w:val="00216124"/>
    <w:rsid w:val="002161DD"/>
    <w:rsid w:val="00220E9D"/>
    <w:rsid w:val="0022373E"/>
    <w:rsid w:val="00223C5E"/>
    <w:rsid w:val="00230A73"/>
    <w:rsid w:val="00233B63"/>
    <w:rsid w:val="002356C4"/>
    <w:rsid w:val="00236637"/>
    <w:rsid w:val="00241A80"/>
    <w:rsid w:val="002437E0"/>
    <w:rsid w:val="00243E80"/>
    <w:rsid w:val="00245435"/>
    <w:rsid w:val="00251B6D"/>
    <w:rsid w:val="00252E29"/>
    <w:rsid w:val="00255B7D"/>
    <w:rsid w:val="0025679F"/>
    <w:rsid w:val="0026095B"/>
    <w:rsid w:val="00260F5C"/>
    <w:rsid w:val="00261220"/>
    <w:rsid w:val="002625DF"/>
    <w:rsid w:val="002632F4"/>
    <w:rsid w:val="002635B7"/>
    <w:rsid w:val="002646A2"/>
    <w:rsid w:val="0026574B"/>
    <w:rsid w:val="002707ED"/>
    <w:rsid w:val="00271CF7"/>
    <w:rsid w:val="00271D9B"/>
    <w:rsid w:val="002739D2"/>
    <w:rsid w:val="00277908"/>
    <w:rsid w:val="00280ADB"/>
    <w:rsid w:val="00283999"/>
    <w:rsid w:val="0029138B"/>
    <w:rsid w:val="00295A44"/>
    <w:rsid w:val="002968B0"/>
    <w:rsid w:val="002972C4"/>
    <w:rsid w:val="002A0974"/>
    <w:rsid w:val="002A1C1F"/>
    <w:rsid w:val="002A2E15"/>
    <w:rsid w:val="002A4F09"/>
    <w:rsid w:val="002A58D3"/>
    <w:rsid w:val="002B03DD"/>
    <w:rsid w:val="002C1D87"/>
    <w:rsid w:val="002C2A8A"/>
    <w:rsid w:val="002C2EE0"/>
    <w:rsid w:val="002C6108"/>
    <w:rsid w:val="002C70F9"/>
    <w:rsid w:val="002C724F"/>
    <w:rsid w:val="002C7EF7"/>
    <w:rsid w:val="002D1964"/>
    <w:rsid w:val="002D1F3C"/>
    <w:rsid w:val="002D25B2"/>
    <w:rsid w:val="002D45F1"/>
    <w:rsid w:val="002D4971"/>
    <w:rsid w:val="002E0468"/>
    <w:rsid w:val="002E2949"/>
    <w:rsid w:val="002E7C64"/>
    <w:rsid w:val="002F28B9"/>
    <w:rsid w:val="002F3B0B"/>
    <w:rsid w:val="002F6B72"/>
    <w:rsid w:val="002F6B88"/>
    <w:rsid w:val="002F797E"/>
    <w:rsid w:val="0030456E"/>
    <w:rsid w:val="00304A61"/>
    <w:rsid w:val="0030560E"/>
    <w:rsid w:val="00306FF7"/>
    <w:rsid w:val="00307045"/>
    <w:rsid w:val="00310B57"/>
    <w:rsid w:val="00311315"/>
    <w:rsid w:val="00314E35"/>
    <w:rsid w:val="00315347"/>
    <w:rsid w:val="00316461"/>
    <w:rsid w:val="00320041"/>
    <w:rsid w:val="0032386A"/>
    <w:rsid w:val="00323A29"/>
    <w:rsid w:val="00325970"/>
    <w:rsid w:val="003339B2"/>
    <w:rsid w:val="00333A09"/>
    <w:rsid w:val="003345D8"/>
    <w:rsid w:val="00336056"/>
    <w:rsid w:val="00344BF8"/>
    <w:rsid w:val="00345E64"/>
    <w:rsid w:val="00353F87"/>
    <w:rsid w:val="003576B3"/>
    <w:rsid w:val="00360955"/>
    <w:rsid w:val="00362A6A"/>
    <w:rsid w:val="003630F9"/>
    <w:rsid w:val="00365DAB"/>
    <w:rsid w:val="003662C6"/>
    <w:rsid w:val="00372674"/>
    <w:rsid w:val="00376A9F"/>
    <w:rsid w:val="00381F96"/>
    <w:rsid w:val="00386BFE"/>
    <w:rsid w:val="00387313"/>
    <w:rsid w:val="00387F9F"/>
    <w:rsid w:val="003938E8"/>
    <w:rsid w:val="00395002"/>
    <w:rsid w:val="0039536F"/>
    <w:rsid w:val="003A6A75"/>
    <w:rsid w:val="003B3673"/>
    <w:rsid w:val="003B4448"/>
    <w:rsid w:val="003B4FF2"/>
    <w:rsid w:val="003B5CAB"/>
    <w:rsid w:val="003B6F1F"/>
    <w:rsid w:val="003C54CF"/>
    <w:rsid w:val="003C60CC"/>
    <w:rsid w:val="003D2FFC"/>
    <w:rsid w:val="003D3391"/>
    <w:rsid w:val="003D4B17"/>
    <w:rsid w:val="003D6D8C"/>
    <w:rsid w:val="003E3FA9"/>
    <w:rsid w:val="003E4507"/>
    <w:rsid w:val="003E45EA"/>
    <w:rsid w:val="003E5A77"/>
    <w:rsid w:val="003E7886"/>
    <w:rsid w:val="003E7D11"/>
    <w:rsid w:val="003F0B2E"/>
    <w:rsid w:val="003F1A74"/>
    <w:rsid w:val="003F1BE9"/>
    <w:rsid w:val="003F3355"/>
    <w:rsid w:val="003F73A5"/>
    <w:rsid w:val="003F7AB0"/>
    <w:rsid w:val="004005B7"/>
    <w:rsid w:val="00405700"/>
    <w:rsid w:val="0040773C"/>
    <w:rsid w:val="0040775D"/>
    <w:rsid w:val="00412DE6"/>
    <w:rsid w:val="00414F63"/>
    <w:rsid w:val="00427220"/>
    <w:rsid w:val="00430A31"/>
    <w:rsid w:val="00430AF2"/>
    <w:rsid w:val="00431F77"/>
    <w:rsid w:val="00433C37"/>
    <w:rsid w:val="0043603D"/>
    <w:rsid w:val="00440688"/>
    <w:rsid w:val="00441613"/>
    <w:rsid w:val="00444441"/>
    <w:rsid w:val="0044525D"/>
    <w:rsid w:val="00450DDA"/>
    <w:rsid w:val="00455F95"/>
    <w:rsid w:val="00460B3D"/>
    <w:rsid w:val="00464372"/>
    <w:rsid w:val="0046745E"/>
    <w:rsid w:val="004700F7"/>
    <w:rsid w:val="00475D2A"/>
    <w:rsid w:val="00476941"/>
    <w:rsid w:val="00481207"/>
    <w:rsid w:val="00481DC0"/>
    <w:rsid w:val="00483D9D"/>
    <w:rsid w:val="00485EB4"/>
    <w:rsid w:val="0048786E"/>
    <w:rsid w:val="00494BEE"/>
    <w:rsid w:val="004A0003"/>
    <w:rsid w:val="004A25C9"/>
    <w:rsid w:val="004B0D68"/>
    <w:rsid w:val="004B21F5"/>
    <w:rsid w:val="004B2E19"/>
    <w:rsid w:val="004B3FC6"/>
    <w:rsid w:val="004B54B7"/>
    <w:rsid w:val="004B6059"/>
    <w:rsid w:val="004B64CE"/>
    <w:rsid w:val="004B6860"/>
    <w:rsid w:val="004C125D"/>
    <w:rsid w:val="004C216E"/>
    <w:rsid w:val="004C2196"/>
    <w:rsid w:val="004D2117"/>
    <w:rsid w:val="004D2598"/>
    <w:rsid w:val="004D34A8"/>
    <w:rsid w:val="004D3978"/>
    <w:rsid w:val="004D46A9"/>
    <w:rsid w:val="004D4ECC"/>
    <w:rsid w:val="004E14C3"/>
    <w:rsid w:val="004E3DDB"/>
    <w:rsid w:val="004E3F1D"/>
    <w:rsid w:val="004E72E4"/>
    <w:rsid w:val="004F184B"/>
    <w:rsid w:val="004F2172"/>
    <w:rsid w:val="0050108D"/>
    <w:rsid w:val="00501D4D"/>
    <w:rsid w:val="00503E21"/>
    <w:rsid w:val="00513359"/>
    <w:rsid w:val="00517CE4"/>
    <w:rsid w:val="00526565"/>
    <w:rsid w:val="0052710D"/>
    <w:rsid w:val="00530316"/>
    <w:rsid w:val="00533C4E"/>
    <w:rsid w:val="00534000"/>
    <w:rsid w:val="005347A5"/>
    <w:rsid w:val="005353A6"/>
    <w:rsid w:val="0054432C"/>
    <w:rsid w:val="00546510"/>
    <w:rsid w:val="00547B59"/>
    <w:rsid w:val="00550EBE"/>
    <w:rsid w:val="0055205E"/>
    <w:rsid w:val="00552476"/>
    <w:rsid w:val="00554464"/>
    <w:rsid w:val="0055704D"/>
    <w:rsid w:val="00563FAA"/>
    <w:rsid w:val="00567658"/>
    <w:rsid w:val="00567E05"/>
    <w:rsid w:val="00572E11"/>
    <w:rsid w:val="00574C27"/>
    <w:rsid w:val="005755C8"/>
    <w:rsid w:val="00576BC9"/>
    <w:rsid w:val="00577BB1"/>
    <w:rsid w:val="00577C42"/>
    <w:rsid w:val="00582694"/>
    <w:rsid w:val="005843A8"/>
    <w:rsid w:val="00585948"/>
    <w:rsid w:val="005916AC"/>
    <w:rsid w:val="0059191B"/>
    <w:rsid w:val="00592E5F"/>
    <w:rsid w:val="0059477F"/>
    <w:rsid w:val="005960EA"/>
    <w:rsid w:val="00596DFD"/>
    <w:rsid w:val="0059778F"/>
    <w:rsid w:val="005A18CC"/>
    <w:rsid w:val="005A1A84"/>
    <w:rsid w:val="005A2630"/>
    <w:rsid w:val="005A49B3"/>
    <w:rsid w:val="005A6A04"/>
    <w:rsid w:val="005B0A92"/>
    <w:rsid w:val="005B1556"/>
    <w:rsid w:val="005B26A0"/>
    <w:rsid w:val="005B4002"/>
    <w:rsid w:val="005B5308"/>
    <w:rsid w:val="005B66F4"/>
    <w:rsid w:val="005C0098"/>
    <w:rsid w:val="005C0DB0"/>
    <w:rsid w:val="005C2DE7"/>
    <w:rsid w:val="005C4852"/>
    <w:rsid w:val="005D10B7"/>
    <w:rsid w:val="005D330C"/>
    <w:rsid w:val="005D7672"/>
    <w:rsid w:val="005E29BD"/>
    <w:rsid w:val="005E603A"/>
    <w:rsid w:val="005F19B4"/>
    <w:rsid w:val="005F4CC2"/>
    <w:rsid w:val="006014C1"/>
    <w:rsid w:val="00601B45"/>
    <w:rsid w:val="00602035"/>
    <w:rsid w:val="006033EF"/>
    <w:rsid w:val="00603FC6"/>
    <w:rsid w:val="006045FC"/>
    <w:rsid w:val="006167F5"/>
    <w:rsid w:val="00623D39"/>
    <w:rsid w:val="00626816"/>
    <w:rsid w:val="0063043F"/>
    <w:rsid w:val="00632707"/>
    <w:rsid w:val="00633B59"/>
    <w:rsid w:val="006340BE"/>
    <w:rsid w:val="00635A99"/>
    <w:rsid w:val="00640965"/>
    <w:rsid w:val="00641C27"/>
    <w:rsid w:val="00647641"/>
    <w:rsid w:val="00652D2E"/>
    <w:rsid w:val="00653760"/>
    <w:rsid w:val="00653C44"/>
    <w:rsid w:val="00654C90"/>
    <w:rsid w:val="0066126F"/>
    <w:rsid w:val="00663308"/>
    <w:rsid w:val="006657D5"/>
    <w:rsid w:val="00666C98"/>
    <w:rsid w:val="00670CC8"/>
    <w:rsid w:val="00676636"/>
    <w:rsid w:val="00680571"/>
    <w:rsid w:val="0068171F"/>
    <w:rsid w:val="0068218C"/>
    <w:rsid w:val="0068470D"/>
    <w:rsid w:val="006849CF"/>
    <w:rsid w:val="00685EA8"/>
    <w:rsid w:val="00686178"/>
    <w:rsid w:val="006866AC"/>
    <w:rsid w:val="00687C90"/>
    <w:rsid w:val="00692122"/>
    <w:rsid w:val="006921C8"/>
    <w:rsid w:val="00693037"/>
    <w:rsid w:val="00695B2A"/>
    <w:rsid w:val="006A0885"/>
    <w:rsid w:val="006A14D7"/>
    <w:rsid w:val="006A31B1"/>
    <w:rsid w:val="006A4FD3"/>
    <w:rsid w:val="006B096E"/>
    <w:rsid w:val="006B3567"/>
    <w:rsid w:val="006B3D1F"/>
    <w:rsid w:val="006C01ED"/>
    <w:rsid w:val="006C24B7"/>
    <w:rsid w:val="006C6080"/>
    <w:rsid w:val="006C6851"/>
    <w:rsid w:val="006C75A5"/>
    <w:rsid w:val="006D0505"/>
    <w:rsid w:val="006D0BDE"/>
    <w:rsid w:val="006D419A"/>
    <w:rsid w:val="006D4DFD"/>
    <w:rsid w:val="006E39C8"/>
    <w:rsid w:val="006E43B1"/>
    <w:rsid w:val="006E475B"/>
    <w:rsid w:val="006E5AF7"/>
    <w:rsid w:val="006E6F18"/>
    <w:rsid w:val="006F137A"/>
    <w:rsid w:val="006F480E"/>
    <w:rsid w:val="006F548A"/>
    <w:rsid w:val="006F6171"/>
    <w:rsid w:val="006F713E"/>
    <w:rsid w:val="00701899"/>
    <w:rsid w:val="007040B3"/>
    <w:rsid w:val="00704543"/>
    <w:rsid w:val="007065CB"/>
    <w:rsid w:val="00712162"/>
    <w:rsid w:val="007141C8"/>
    <w:rsid w:val="0071611A"/>
    <w:rsid w:val="00716925"/>
    <w:rsid w:val="00716E5D"/>
    <w:rsid w:val="0073126F"/>
    <w:rsid w:val="00731F94"/>
    <w:rsid w:val="0073676F"/>
    <w:rsid w:val="00743305"/>
    <w:rsid w:val="00744AEB"/>
    <w:rsid w:val="007506C1"/>
    <w:rsid w:val="00755691"/>
    <w:rsid w:val="007556C2"/>
    <w:rsid w:val="0075616A"/>
    <w:rsid w:val="00756D2C"/>
    <w:rsid w:val="007634EA"/>
    <w:rsid w:val="0077450B"/>
    <w:rsid w:val="00775CCA"/>
    <w:rsid w:val="0077773E"/>
    <w:rsid w:val="00784534"/>
    <w:rsid w:val="0079180F"/>
    <w:rsid w:val="007958ED"/>
    <w:rsid w:val="00796827"/>
    <w:rsid w:val="007976D1"/>
    <w:rsid w:val="007A09CA"/>
    <w:rsid w:val="007A0C26"/>
    <w:rsid w:val="007A24A3"/>
    <w:rsid w:val="007A2E4B"/>
    <w:rsid w:val="007A5113"/>
    <w:rsid w:val="007A624A"/>
    <w:rsid w:val="007A624D"/>
    <w:rsid w:val="007B0044"/>
    <w:rsid w:val="007B059B"/>
    <w:rsid w:val="007B3AAF"/>
    <w:rsid w:val="007B754D"/>
    <w:rsid w:val="007C224B"/>
    <w:rsid w:val="007C2B9B"/>
    <w:rsid w:val="007C3E76"/>
    <w:rsid w:val="007C59B3"/>
    <w:rsid w:val="007C619C"/>
    <w:rsid w:val="007D19CA"/>
    <w:rsid w:val="007E1677"/>
    <w:rsid w:val="007E23B3"/>
    <w:rsid w:val="007E36E3"/>
    <w:rsid w:val="007E502B"/>
    <w:rsid w:val="007E523B"/>
    <w:rsid w:val="007E6917"/>
    <w:rsid w:val="007F132B"/>
    <w:rsid w:val="007F3C33"/>
    <w:rsid w:val="007F5D9D"/>
    <w:rsid w:val="007F75C2"/>
    <w:rsid w:val="007F7EF1"/>
    <w:rsid w:val="00803BB4"/>
    <w:rsid w:val="008040C9"/>
    <w:rsid w:val="0080593A"/>
    <w:rsid w:val="0080715F"/>
    <w:rsid w:val="00807270"/>
    <w:rsid w:val="008106FA"/>
    <w:rsid w:val="008131C7"/>
    <w:rsid w:val="00813F10"/>
    <w:rsid w:val="00817D5F"/>
    <w:rsid w:val="00821B82"/>
    <w:rsid w:val="008243E8"/>
    <w:rsid w:val="00826426"/>
    <w:rsid w:val="008272C7"/>
    <w:rsid w:val="00827A13"/>
    <w:rsid w:val="0083095A"/>
    <w:rsid w:val="00830EB6"/>
    <w:rsid w:val="008310A4"/>
    <w:rsid w:val="00832985"/>
    <w:rsid w:val="00833F23"/>
    <w:rsid w:val="00836894"/>
    <w:rsid w:val="008402CD"/>
    <w:rsid w:val="0084496E"/>
    <w:rsid w:val="008465CF"/>
    <w:rsid w:val="0084736C"/>
    <w:rsid w:val="00850554"/>
    <w:rsid w:val="008508DE"/>
    <w:rsid w:val="008570B7"/>
    <w:rsid w:val="008575F6"/>
    <w:rsid w:val="008639CC"/>
    <w:rsid w:val="0086558F"/>
    <w:rsid w:val="0086565C"/>
    <w:rsid w:val="00865FFE"/>
    <w:rsid w:val="008677F3"/>
    <w:rsid w:val="008713B1"/>
    <w:rsid w:val="0087620D"/>
    <w:rsid w:val="00876D58"/>
    <w:rsid w:val="00885F00"/>
    <w:rsid w:val="00893268"/>
    <w:rsid w:val="00895BD8"/>
    <w:rsid w:val="00897301"/>
    <w:rsid w:val="008A0686"/>
    <w:rsid w:val="008A5EF4"/>
    <w:rsid w:val="008A6E89"/>
    <w:rsid w:val="008A6EDF"/>
    <w:rsid w:val="008B1C3D"/>
    <w:rsid w:val="008B24F9"/>
    <w:rsid w:val="008B3072"/>
    <w:rsid w:val="008B58C9"/>
    <w:rsid w:val="008B611E"/>
    <w:rsid w:val="008B686D"/>
    <w:rsid w:val="008B7CAA"/>
    <w:rsid w:val="008B7F2E"/>
    <w:rsid w:val="008C23E6"/>
    <w:rsid w:val="008C3204"/>
    <w:rsid w:val="008C33A5"/>
    <w:rsid w:val="008C5067"/>
    <w:rsid w:val="008C6157"/>
    <w:rsid w:val="008C7E7A"/>
    <w:rsid w:val="008D06A2"/>
    <w:rsid w:val="008D3176"/>
    <w:rsid w:val="008D6968"/>
    <w:rsid w:val="008E1C6B"/>
    <w:rsid w:val="008E34F6"/>
    <w:rsid w:val="008E5717"/>
    <w:rsid w:val="008E583D"/>
    <w:rsid w:val="008F2A65"/>
    <w:rsid w:val="00901B07"/>
    <w:rsid w:val="009040EA"/>
    <w:rsid w:val="0090466F"/>
    <w:rsid w:val="0090487B"/>
    <w:rsid w:val="009063D0"/>
    <w:rsid w:val="00914DB3"/>
    <w:rsid w:val="00915BE4"/>
    <w:rsid w:val="00915D2B"/>
    <w:rsid w:val="0091671D"/>
    <w:rsid w:val="009207F1"/>
    <w:rsid w:val="00922914"/>
    <w:rsid w:val="00922958"/>
    <w:rsid w:val="0092303A"/>
    <w:rsid w:val="0092581C"/>
    <w:rsid w:val="00926AAE"/>
    <w:rsid w:val="0092796B"/>
    <w:rsid w:val="00927F4D"/>
    <w:rsid w:val="00932D11"/>
    <w:rsid w:val="00933114"/>
    <w:rsid w:val="00933AB7"/>
    <w:rsid w:val="00935112"/>
    <w:rsid w:val="00935726"/>
    <w:rsid w:val="00935A3A"/>
    <w:rsid w:val="0093615C"/>
    <w:rsid w:val="009364D1"/>
    <w:rsid w:val="00942F07"/>
    <w:rsid w:val="00943168"/>
    <w:rsid w:val="0094630D"/>
    <w:rsid w:val="009472A0"/>
    <w:rsid w:val="009503A4"/>
    <w:rsid w:val="00951A5B"/>
    <w:rsid w:val="00953173"/>
    <w:rsid w:val="00954982"/>
    <w:rsid w:val="00954C23"/>
    <w:rsid w:val="00955030"/>
    <w:rsid w:val="009575B3"/>
    <w:rsid w:val="00957B6B"/>
    <w:rsid w:val="00957E81"/>
    <w:rsid w:val="00960197"/>
    <w:rsid w:val="00960B7F"/>
    <w:rsid w:val="00960C8F"/>
    <w:rsid w:val="00961595"/>
    <w:rsid w:val="00965ED3"/>
    <w:rsid w:val="00970D1C"/>
    <w:rsid w:val="009728CC"/>
    <w:rsid w:val="0097296A"/>
    <w:rsid w:val="009760AA"/>
    <w:rsid w:val="00984253"/>
    <w:rsid w:val="0099108C"/>
    <w:rsid w:val="00993E18"/>
    <w:rsid w:val="00995B09"/>
    <w:rsid w:val="00997EBD"/>
    <w:rsid w:val="009A16B4"/>
    <w:rsid w:val="009A18E0"/>
    <w:rsid w:val="009A404D"/>
    <w:rsid w:val="009A4821"/>
    <w:rsid w:val="009A7AB7"/>
    <w:rsid w:val="009B10CC"/>
    <w:rsid w:val="009B1193"/>
    <w:rsid w:val="009B471B"/>
    <w:rsid w:val="009B7AB5"/>
    <w:rsid w:val="009C030B"/>
    <w:rsid w:val="009C0B0C"/>
    <w:rsid w:val="009C0B4E"/>
    <w:rsid w:val="009C1376"/>
    <w:rsid w:val="009C4613"/>
    <w:rsid w:val="009C4FB1"/>
    <w:rsid w:val="009D1607"/>
    <w:rsid w:val="009D1991"/>
    <w:rsid w:val="009D463E"/>
    <w:rsid w:val="009D4ACE"/>
    <w:rsid w:val="009D73CA"/>
    <w:rsid w:val="009D747E"/>
    <w:rsid w:val="009E114C"/>
    <w:rsid w:val="009E1227"/>
    <w:rsid w:val="009E2AAE"/>
    <w:rsid w:val="009E42D3"/>
    <w:rsid w:val="009E472F"/>
    <w:rsid w:val="009E572E"/>
    <w:rsid w:val="009E6E96"/>
    <w:rsid w:val="009F0DDF"/>
    <w:rsid w:val="009F39D0"/>
    <w:rsid w:val="009F7AAD"/>
    <w:rsid w:val="00A02207"/>
    <w:rsid w:val="00A0464F"/>
    <w:rsid w:val="00A06DB1"/>
    <w:rsid w:val="00A10CFA"/>
    <w:rsid w:val="00A127F5"/>
    <w:rsid w:val="00A16038"/>
    <w:rsid w:val="00A17B07"/>
    <w:rsid w:val="00A20205"/>
    <w:rsid w:val="00A20297"/>
    <w:rsid w:val="00A209E9"/>
    <w:rsid w:val="00A22AF0"/>
    <w:rsid w:val="00A2647B"/>
    <w:rsid w:val="00A3174C"/>
    <w:rsid w:val="00A325F0"/>
    <w:rsid w:val="00A32AC3"/>
    <w:rsid w:val="00A32DBB"/>
    <w:rsid w:val="00A3410E"/>
    <w:rsid w:val="00A41AAD"/>
    <w:rsid w:val="00A41BFA"/>
    <w:rsid w:val="00A45275"/>
    <w:rsid w:val="00A45E37"/>
    <w:rsid w:val="00A51005"/>
    <w:rsid w:val="00A51F72"/>
    <w:rsid w:val="00A545EC"/>
    <w:rsid w:val="00A61A7F"/>
    <w:rsid w:val="00A67CD2"/>
    <w:rsid w:val="00A7040B"/>
    <w:rsid w:val="00A74FFD"/>
    <w:rsid w:val="00A750F1"/>
    <w:rsid w:val="00A77D08"/>
    <w:rsid w:val="00A81D47"/>
    <w:rsid w:val="00A8528E"/>
    <w:rsid w:val="00A85719"/>
    <w:rsid w:val="00A86CF3"/>
    <w:rsid w:val="00A933CF"/>
    <w:rsid w:val="00A960B0"/>
    <w:rsid w:val="00A96B79"/>
    <w:rsid w:val="00A96F3D"/>
    <w:rsid w:val="00AA2C87"/>
    <w:rsid w:val="00AA3540"/>
    <w:rsid w:val="00AA5425"/>
    <w:rsid w:val="00AA5BD3"/>
    <w:rsid w:val="00AA5D91"/>
    <w:rsid w:val="00AA68A6"/>
    <w:rsid w:val="00AA71B9"/>
    <w:rsid w:val="00AA7CC0"/>
    <w:rsid w:val="00AB1579"/>
    <w:rsid w:val="00AB3EB3"/>
    <w:rsid w:val="00AB7835"/>
    <w:rsid w:val="00AC4C38"/>
    <w:rsid w:val="00AC66A6"/>
    <w:rsid w:val="00AD02AE"/>
    <w:rsid w:val="00AD1877"/>
    <w:rsid w:val="00AD4D3D"/>
    <w:rsid w:val="00AD6DDE"/>
    <w:rsid w:val="00AE5212"/>
    <w:rsid w:val="00AE7818"/>
    <w:rsid w:val="00AE7B75"/>
    <w:rsid w:val="00AF1158"/>
    <w:rsid w:val="00AF25C6"/>
    <w:rsid w:val="00AF4E1D"/>
    <w:rsid w:val="00AF6D2F"/>
    <w:rsid w:val="00B021BD"/>
    <w:rsid w:val="00B06513"/>
    <w:rsid w:val="00B21AE2"/>
    <w:rsid w:val="00B21B25"/>
    <w:rsid w:val="00B23053"/>
    <w:rsid w:val="00B23511"/>
    <w:rsid w:val="00B24EB2"/>
    <w:rsid w:val="00B250C7"/>
    <w:rsid w:val="00B25EE9"/>
    <w:rsid w:val="00B32315"/>
    <w:rsid w:val="00B33E23"/>
    <w:rsid w:val="00B3549B"/>
    <w:rsid w:val="00B36F58"/>
    <w:rsid w:val="00B42582"/>
    <w:rsid w:val="00B42FF1"/>
    <w:rsid w:val="00B447CD"/>
    <w:rsid w:val="00B45A98"/>
    <w:rsid w:val="00B45E14"/>
    <w:rsid w:val="00B46404"/>
    <w:rsid w:val="00B470F2"/>
    <w:rsid w:val="00B52B44"/>
    <w:rsid w:val="00B534C8"/>
    <w:rsid w:val="00B535A3"/>
    <w:rsid w:val="00B574EB"/>
    <w:rsid w:val="00B60032"/>
    <w:rsid w:val="00B60F8E"/>
    <w:rsid w:val="00B6468E"/>
    <w:rsid w:val="00B6468F"/>
    <w:rsid w:val="00B6487F"/>
    <w:rsid w:val="00B65541"/>
    <w:rsid w:val="00B66539"/>
    <w:rsid w:val="00B71802"/>
    <w:rsid w:val="00B75B16"/>
    <w:rsid w:val="00B8134F"/>
    <w:rsid w:val="00B8551C"/>
    <w:rsid w:val="00B85E7F"/>
    <w:rsid w:val="00B94D4B"/>
    <w:rsid w:val="00B95C0E"/>
    <w:rsid w:val="00BA166E"/>
    <w:rsid w:val="00BA1DC1"/>
    <w:rsid w:val="00BA4EAF"/>
    <w:rsid w:val="00BA5C1F"/>
    <w:rsid w:val="00BA6A5B"/>
    <w:rsid w:val="00BB135B"/>
    <w:rsid w:val="00BB3EEB"/>
    <w:rsid w:val="00BC0B6A"/>
    <w:rsid w:val="00BC4CDF"/>
    <w:rsid w:val="00BD07FC"/>
    <w:rsid w:val="00BE232B"/>
    <w:rsid w:val="00BE564B"/>
    <w:rsid w:val="00BE59A9"/>
    <w:rsid w:val="00BE7B6D"/>
    <w:rsid w:val="00BE7E7F"/>
    <w:rsid w:val="00BF0094"/>
    <w:rsid w:val="00BF5FE7"/>
    <w:rsid w:val="00C00582"/>
    <w:rsid w:val="00C028EE"/>
    <w:rsid w:val="00C05DDC"/>
    <w:rsid w:val="00C06648"/>
    <w:rsid w:val="00C072EB"/>
    <w:rsid w:val="00C07ED1"/>
    <w:rsid w:val="00C12D7A"/>
    <w:rsid w:val="00C13A8A"/>
    <w:rsid w:val="00C144A6"/>
    <w:rsid w:val="00C15FEB"/>
    <w:rsid w:val="00C16B79"/>
    <w:rsid w:val="00C17DE2"/>
    <w:rsid w:val="00C2068D"/>
    <w:rsid w:val="00C22097"/>
    <w:rsid w:val="00C22923"/>
    <w:rsid w:val="00C24C81"/>
    <w:rsid w:val="00C24D4E"/>
    <w:rsid w:val="00C25027"/>
    <w:rsid w:val="00C255B8"/>
    <w:rsid w:val="00C326BC"/>
    <w:rsid w:val="00C36425"/>
    <w:rsid w:val="00C36DCE"/>
    <w:rsid w:val="00C40071"/>
    <w:rsid w:val="00C43E83"/>
    <w:rsid w:val="00C50EEF"/>
    <w:rsid w:val="00C51300"/>
    <w:rsid w:val="00C55810"/>
    <w:rsid w:val="00C603BB"/>
    <w:rsid w:val="00C60515"/>
    <w:rsid w:val="00C60CF2"/>
    <w:rsid w:val="00C64E66"/>
    <w:rsid w:val="00C66A94"/>
    <w:rsid w:val="00C70DC1"/>
    <w:rsid w:val="00C70E31"/>
    <w:rsid w:val="00C71CF3"/>
    <w:rsid w:val="00C76299"/>
    <w:rsid w:val="00C773A1"/>
    <w:rsid w:val="00C8068B"/>
    <w:rsid w:val="00C91840"/>
    <w:rsid w:val="00C92C07"/>
    <w:rsid w:val="00C92DD3"/>
    <w:rsid w:val="00C9312A"/>
    <w:rsid w:val="00C932F9"/>
    <w:rsid w:val="00C94D4E"/>
    <w:rsid w:val="00C953A5"/>
    <w:rsid w:val="00CA34BA"/>
    <w:rsid w:val="00CB2FB9"/>
    <w:rsid w:val="00CB5E81"/>
    <w:rsid w:val="00CC3BEA"/>
    <w:rsid w:val="00CC7147"/>
    <w:rsid w:val="00CD0723"/>
    <w:rsid w:val="00CD267F"/>
    <w:rsid w:val="00CD5D0A"/>
    <w:rsid w:val="00CE0B45"/>
    <w:rsid w:val="00CE0E84"/>
    <w:rsid w:val="00CE2D73"/>
    <w:rsid w:val="00CE4155"/>
    <w:rsid w:val="00CE4AF6"/>
    <w:rsid w:val="00CE52E5"/>
    <w:rsid w:val="00CE6358"/>
    <w:rsid w:val="00CF0586"/>
    <w:rsid w:val="00CF0863"/>
    <w:rsid w:val="00CF192B"/>
    <w:rsid w:val="00CF5509"/>
    <w:rsid w:val="00D00778"/>
    <w:rsid w:val="00D00C5C"/>
    <w:rsid w:val="00D017CB"/>
    <w:rsid w:val="00D01805"/>
    <w:rsid w:val="00D12DB0"/>
    <w:rsid w:val="00D17EFE"/>
    <w:rsid w:val="00D20235"/>
    <w:rsid w:val="00D20C7A"/>
    <w:rsid w:val="00D21D25"/>
    <w:rsid w:val="00D22CD1"/>
    <w:rsid w:val="00D243A4"/>
    <w:rsid w:val="00D34ACA"/>
    <w:rsid w:val="00D353B0"/>
    <w:rsid w:val="00D3611F"/>
    <w:rsid w:val="00D41387"/>
    <w:rsid w:val="00D4231A"/>
    <w:rsid w:val="00D43FB4"/>
    <w:rsid w:val="00D44A41"/>
    <w:rsid w:val="00D4670A"/>
    <w:rsid w:val="00D505E2"/>
    <w:rsid w:val="00D50AF5"/>
    <w:rsid w:val="00D53EF2"/>
    <w:rsid w:val="00D5720B"/>
    <w:rsid w:val="00D61A27"/>
    <w:rsid w:val="00D62A04"/>
    <w:rsid w:val="00D659E7"/>
    <w:rsid w:val="00D728D9"/>
    <w:rsid w:val="00D7702C"/>
    <w:rsid w:val="00D9249D"/>
    <w:rsid w:val="00D9266A"/>
    <w:rsid w:val="00D92EF3"/>
    <w:rsid w:val="00DA06F1"/>
    <w:rsid w:val="00DA0D1D"/>
    <w:rsid w:val="00DA53E4"/>
    <w:rsid w:val="00DA6982"/>
    <w:rsid w:val="00DB05F6"/>
    <w:rsid w:val="00DB2C9E"/>
    <w:rsid w:val="00DB3A18"/>
    <w:rsid w:val="00DB3EB2"/>
    <w:rsid w:val="00DB50F0"/>
    <w:rsid w:val="00DB657D"/>
    <w:rsid w:val="00DB6B93"/>
    <w:rsid w:val="00DC0089"/>
    <w:rsid w:val="00DC4ED3"/>
    <w:rsid w:val="00DD12C8"/>
    <w:rsid w:val="00DD16BA"/>
    <w:rsid w:val="00DD2878"/>
    <w:rsid w:val="00DD2E53"/>
    <w:rsid w:val="00DD3132"/>
    <w:rsid w:val="00DD4786"/>
    <w:rsid w:val="00DD6B6C"/>
    <w:rsid w:val="00DE01D7"/>
    <w:rsid w:val="00DE15A2"/>
    <w:rsid w:val="00DE37F4"/>
    <w:rsid w:val="00DE3EBF"/>
    <w:rsid w:val="00DE7E72"/>
    <w:rsid w:val="00DF14C8"/>
    <w:rsid w:val="00DF1F02"/>
    <w:rsid w:val="00DF22EB"/>
    <w:rsid w:val="00DF2FBE"/>
    <w:rsid w:val="00DF3093"/>
    <w:rsid w:val="00DF37F0"/>
    <w:rsid w:val="00DF76BE"/>
    <w:rsid w:val="00E02516"/>
    <w:rsid w:val="00E02CFD"/>
    <w:rsid w:val="00E03909"/>
    <w:rsid w:val="00E05627"/>
    <w:rsid w:val="00E07261"/>
    <w:rsid w:val="00E10875"/>
    <w:rsid w:val="00E11D3C"/>
    <w:rsid w:val="00E1262E"/>
    <w:rsid w:val="00E1414D"/>
    <w:rsid w:val="00E1737D"/>
    <w:rsid w:val="00E20115"/>
    <w:rsid w:val="00E20772"/>
    <w:rsid w:val="00E21AAE"/>
    <w:rsid w:val="00E2321D"/>
    <w:rsid w:val="00E3045F"/>
    <w:rsid w:val="00E338BC"/>
    <w:rsid w:val="00E33E41"/>
    <w:rsid w:val="00E34AE5"/>
    <w:rsid w:val="00E34F24"/>
    <w:rsid w:val="00E354C7"/>
    <w:rsid w:val="00E35CD3"/>
    <w:rsid w:val="00E37ACE"/>
    <w:rsid w:val="00E411B5"/>
    <w:rsid w:val="00E45D17"/>
    <w:rsid w:val="00E460A6"/>
    <w:rsid w:val="00E503E0"/>
    <w:rsid w:val="00E5354E"/>
    <w:rsid w:val="00E55AAB"/>
    <w:rsid w:val="00E56EED"/>
    <w:rsid w:val="00E60869"/>
    <w:rsid w:val="00E60EFF"/>
    <w:rsid w:val="00E61439"/>
    <w:rsid w:val="00E6270C"/>
    <w:rsid w:val="00E76A37"/>
    <w:rsid w:val="00E77279"/>
    <w:rsid w:val="00E905D2"/>
    <w:rsid w:val="00E92A69"/>
    <w:rsid w:val="00E944C7"/>
    <w:rsid w:val="00E953AD"/>
    <w:rsid w:val="00E976E5"/>
    <w:rsid w:val="00EA0B9D"/>
    <w:rsid w:val="00EA3024"/>
    <w:rsid w:val="00EA55E6"/>
    <w:rsid w:val="00EA5F28"/>
    <w:rsid w:val="00EA619F"/>
    <w:rsid w:val="00EB1E7B"/>
    <w:rsid w:val="00EB2B55"/>
    <w:rsid w:val="00EB32EB"/>
    <w:rsid w:val="00EB5B9C"/>
    <w:rsid w:val="00EB6946"/>
    <w:rsid w:val="00EB7C48"/>
    <w:rsid w:val="00EC391F"/>
    <w:rsid w:val="00EC3A95"/>
    <w:rsid w:val="00EC5D87"/>
    <w:rsid w:val="00EC7C24"/>
    <w:rsid w:val="00ED064A"/>
    <w:rsid w:val="00ED641B"/>
    <w:rsid w:val="00ED68AE"/>
    <w:rsid w:val="00EE754C"/>
    <w:rsid w:val="00EF033F"/>
    <w:rsid w:val="00EF0BA5"/>
    <w:rsid w:val="00EF45D2"/>
    <w:rsid w:val="00EF45EB"/>
    <w:rsid w:val="00EF6BA6"/>
    <w:rsid w:val="00EF77F4"/>
    <w:rsid w:val="00F00518"/>
    <w:rsid w:val="00F0443E"/>
    <w:rsid w:val="00F04468"/>
    <w:rsid w:val="00F04BBE"/>
    <w:rsid w:val="00F0688E"/>
    <w:rsid w:val="00F10DAF"/>
    <w:rsid w:val="00F11049"/>
    <w:rsid w:val="00F114C4"/>
    <w:rsid w:val="00F13239"/>
    <w:rsid w:val="00F132B2"/>
    <w:rsid w:val="00F162A1"/>
    <w:rsid w:val="00F2126F"/>
    <w:rsid w:val="00F21C9B"/>
    <w:rsid w:val="00F22309"/>
    <w:rsid w:val="00F23084"/>
    <w:rsid w:val="00F23910"/>
    <w:rsid w:val="00F313E6"/>
    <w:rsid w:val="00F32881"/>
    <w:rsid w:val="00F35140"/>
    <w:rsid w:val="00F37FE7"/>
    <w:rsid w:val="00F564F1"/>
    <w:rsid w:val="00F578F4"/>
    <w:rsid w:val="00F60CBF"/>
    <w:rsid w:val="00F62D10"/>
    <w:rsid w:val="00F637FD"/>
    <w:rsid w:val="00F67D52"/>
    <w:rsid w:val="00F75EAA"/>
    <w:rsid w:val="00F7784A"/>
    <w:rsid w:val="00F77990"/>
    <w:rsid w:val="00F80A0A"/>
    <w:rsid w:val="00F81AB3"/>
    <w:rsid w:val="00F83C77"/>
    <w:rsid w:val="00F83F5F"/>
    <w:rsid w:val="00F8470D"/>
    <w:rsid w:val="00F859C6"/>
    <w:rsid w:val="00F914EF"/>
    <w:rsid w:val="00F91554"/>
    <w:rsid w:val="00F91F3F"/>
    <w:rsid w:val="00F941A9"/>
    <w:rsid w:val="00F946EF"/>
    <w:rsid w:val="00F96E3B"/>
    <w:rsid w:val="00F97175"/>
    <w:rsid w:val="00FA06C9"/>
    <w:rsid w:val="00FB197B"/>
    <w:rsid w:val="00FB1985"/>
    <w:rsid w:val="00FB4B67"/>
    <w:rsid w:val="00FC3E42"/>
    <w:rsid w:val="00FC46C8"/>
    <w:rsid w:val="00FC4CA4"/>
    <w:rsid w:val="00FC626D"/>
    <w:rsid w:val="00FC63B9"/>
    <w:rsid w:val="00FC6506"/>
    <w:rsid w:val="00FC69B0"/>
    <w:rsid w:val="00FC7689"/>
    <w:rsid w:val="00FD0978"/>
    <w:rsid w:val="00FD702B"/>
    <w:rsid w:val="00FD7B02"/>
    <w:rsid w:val="00FE0610"/>
    <w:rsid w:val="00FF1006"/>
    <w:rsid w:val="00FF15C5"/>
    <w:rsid w:val="00FF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AEB3D64"/>
  <w15:docId w15:val="{31A86D69-977B-4276-858B-36EE56A7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45D17"/>
    <w:pPr>
      <w:spacing w:after="120" w:line="260" w:lineRule="exact"/>
    </w:pPr>
    <w:rPr>
      <w:rFonts w:ascii="Arial" w:hAnsi="Arial"/>
      <w:sz w:val="20"/>
    </w:rPr>
  </w:style>
  <w:style w:type="paragraph" w:styleId="Heading1">
    <w:name w:val="heading 1"/>
    <w:basedOn w:val="Normal"/>
    <w:next w:val="Normal"/>
    <w:link w:val="Heading1Char"/>
    <w:uiPriority w:val="1"/>
    <w:qFormat/>
    <w:rsid w:val="001E0194"/>
    <w:pPr>
      <w:keepNext/>
      <w:keepLines/>
      <w:numPr>
        <w:numId w:val="7"/>
      </w:numPr>
      <w:pBdr>
        <w:top w:val="single" w:sz="36" w:space="1" w:color="003478"/>
        <w:left w:val="single" w:sz="12" w:space="4" w:color="005596"/>
        <w:bottom w:val="single" w:sz="18" w:space="5" w:color="C4BC96"/>
        <w:right w:val="single" w:sz="12" w:space="4" w:color="005596"/>
      </w:pBdr>
      <w:shd w:val="clear" w:color="auto" w:fill="003478"/>
      <w:spacing w:before="240" w:line="280" w:lineRule="exact"/>
      <w:outlineLvl w:val="0"/>
    </w:pPr>
    <w:rPr>
      <w:rFonts w:eastAsiaTheme="majorEastAsia" w:cstheme="majorBidi"/>
      <w:b/>
      <w:bCs/>
      <w:caps/>
      <w:color w:val="FFFFFF" w:themeColor="background1"/>
      <w:sz w:val="28"/>
      <w:szCs w:val="32"/>
    </w:rPr>
  </w:style>
  <w:style w:type="paragraph" w:styleId="Heading2">
    <w:name w:val="heading 2"/>
    <w:basedOn w:val="Heading1"/>
    <w:next w:val="Normal"/>
    <w:link w:val="Heading2Char"/>
    <w:uiPriority w:val="1"/>
    <w:qFormat/>
    <w:rsid w:val="001E4FD0"/>
    <w:pPr>
      <w:numPr>
        <w:ilvl w:val="1"/>
      </w:numPr>
      <w:pBdr>
        <w:top w:val="none" w:sz="0" w:space="0" w:color="auto"/>
        <w:left w:val="none" w:sz="0" w:space="0" w:color="auto"/>
        <w:bottom w:val="single" w:sz="18" w:space="3" w:color="C4BC96"/>
        <w:right w:val="none" w:sz="0" w:space="0" w:color="auto"/>
      </w:pBdr>
      <w:shd w:val="clear" w:color="auto" w:fill="auto"/>
      <w:spacing w:before="360"/>
      <w:outlineLvl w:val="1"/>
    </w:pPr>
    <w:rPr>
      <w:color w:val="003478"/>
      <w:szCs w:val="28"/>
    </w:rPr>
  </w:style>
  <w:style w:type="paragraph" w:styleId="Heading3">
    <w:name w:val="heading 3"/>
    <w:basedOn w:val="Heading2"/>
    <w:next w:val="Normal"/>
    <w:link w:val="Heading3Char"/>
    <w:uiPriority w:val="1"/>
    <w:qFormat/>
    <w:rsid w:val="00DC0089"/>
    <w:pPr>
      <w:numPr>
        <w:ilvl w:val="2"/>
      </w:numPr>
      <w:pBdr>
        <w:bottom w:val="none" w:sz="0" w:space="0" w:color="auto"/>
      </w:pBdr>
      <w:outlineLvl w:val="2"/>
    </w:pPr>
    <w:rPr>
      <w:caps w:val="0"/>
    </w:rPr>
  </w:style>
  <w:style w:type="paragraph" w:styleId="Heading4">
    <w:name w:val="heading 4"/>
    <w:basedOn w:val="Heading3"/>
    <w:next w:val="Normal"/>
    <w:link w:val="Heading4Char"/>
    <w:uiPriority w:val="1"/>
    <w:qFormat/>
    <w:rsid w:val="0092303A"/>
    <w:pPr>
      <w:numPr>
        <w:ilvl w:val="3"/>
      </w:numPr>
      <w:spacing w:line="240" w:lineRule="auto"/>
      <w:outlineLvl w:val="3"/>
    </w:pPr>
    <w:rPr>
      <w:bCs w:val="0"/>
      <w:iCs/>
      <w:color w:val="000000" w:themeColor="text1"/>
      <w:sz w:val="24"/>
    </w:rPr>
  </w:style>
  <w:style w:type="paragraph" w:styleId="Heading5">
    <w:name w:val="heading 5"/>
    <w:basedOn w:val="Normal"/>
    <w:next w:val="Normal"/>
    <w:link w:val="Heading5Char"/>
    <w:uiPriority w:val="9"/>
    <w:semiHidden/>
    <w:qFormat/>
    <w:rsid w:val="0001395D"/>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qFormat/>
    <w:rsid w:val="0001395D"/>
    <w:pPr>
      <w:keepNext/>
      <w:keepLines/>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qFormat/>
    <w:rsid w:val="0001395D"/>
    <w:pPr>
      <w:keepNext/>
      <w:keepLines/>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qFormat/>
    <w:rsid w:val="0001395D"/>
    <w:pPr>
      <w:keepNext/>
      <w:keepLines/>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qFormat/>
    <w:rsid w:val="0001395D"/>
    <w:pPr>
      <w:keepNext/>
      <w:keepLines/>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715F"/>
    <w:pPr>
      <w:tabs>
        <w:tab w:val="center" w:pos="4320"/>
        <w:tab w:val="right" w:pos="8640"/>
      </w:tabs>
      <w:spacing w:after="0"/>
    </w:pPr>
  </w:style>
  <w:style w:type="character" w:customStyle="1" w:styleId="HeaderChar">
    <w:name w:val="Header Char"/>
    <w:basedOn w:val="DefaultParagraphFont"/>
    <w:link w:val="Header"/>
    <w:uiPriority w:val="99"/>
    <w:rsid w:val="0063043F"/>
    <w:rPr>
      <w:rFonts w:ascii="Arial" w:hAnsi="Arial"/>
      <w:sz w:val="20"/>
    </w:rPr>
  </w:style>
  <w:style w:type="paragraph" w:styleId="Footer">
    <w:name w:val="footer"/>
    <w:basedOn w:val="Normal"/>
    <w:link w:val="FooterChar"/>
    <w:uiPriority w:val="99"/>
    <w:rsid w:val="0080715F"/>
    <w:pPr>
      <w:tabs>
        <w:tab w:val="center" w:pos="4320"/>
        <w:tab w:val="right" w:pos="8640"/>
      </w:tabs>
      <w:spacing w:after="0"/>
    </w:pPr>
  </w:style>
  <w:style w:type="character" w:customStyle="1" w:styleId="FooterChar">
    <w:name w:val="Footer Char"/>
    <w:basedOn w:val="DefaultParagraphFont"/>
    <w:link w:val="Footer"/>
    <w:uiPriority w:val="99"/>
    <w:rsid w:val="0063043F"/>
    <w:rPr>
      <w:rFonts w:ascii="Arial" w:hAnsi="Arial"/>
      <w:sz w:val="20"/>
    </w:rPr>
  </w:style>
  <w:style w:type="paragraph" w:styleId="BalloonText">
    <w:name w:val="Balloon Text"/>
    <w:basedOn w:val="Normal"/>
    <w:link w:val="BalloonTextChar"/>
    <w:uiPriority w:val="99"/>
    <w:semiHidden/>
    <w:rsid w:val="00F859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3DD"/>
    <w:rPr>
      <w:rFonts w:ascii="Lucida Grande" w:hAnsi="Lucida Grande" w:cs="Lucida Grande"/>
      <w:sz w:val="18"/>
      <w:szCs w:val="18"/>
    </w:rPr>
  </w:style>
  <w:style w:type="table" w:styleId="TableGrid">
    <w:name w:val="Table Grid"/>
    <w:basedOn w:val="TableNormal"/>
    <w:uiPriority w:val="59"/>
    <w:rsid w:val="00F85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859C6"/>
  </w:style>
  <w:style w:type="character" w:customStyle="1" w:styleId="Heading1Char">
    <w:name w:val="Heading 1 Char"/>
    <w:basedOn w:val="DefaultParagraphFont"/>
    <w:link w:val="Heading1"/>
    <w:uiPriority w:val="1"/>
    <w:rsid w:val="001E0194"/>
    <w:rPr>
      <w:rFonts w:ascii="Arial" w:eastAsiaTheme="majorEastAsia" w:hAnsi="Arial" w:cstheme="majorBidi"/>
      <w:b/>
      <w:bCs/>
      <w:caps/>
      <w:color w:val="FFFFFF" w:themeColor="background1"/>
      <w:sz w:val="28"/>
      <w:szCs w:val="32"/>
      <w:shd w:val="clear" w:color="auto" w:fill="003478"/>
    </w:rPr>
  </w:style>
  <w:style w:type="character" w:customStyle="1" w:styleId="Heading2Char">
    <w:name w:val="Heading 2 Char"/>
    <w:basedOn w:val="DefaultParagraphFont"/>
    <w:link w:val="Heading2"/>
    <w:uiPriority w:val="1"/>
    <w:rsid w:val="001E4FD0"/>
    <w:rPr>
      <w:rFonts w:ascii="Arial" w:eastAsiaTheme="majorEastAsia" w:hAnsi="Arial" w:cstheme="majorBidi"/>
      <w:b/>
      <w:bCs/>
      <w:caps/>
      <w:color w:val="003478"/>
      <w:sz w:val="28"/>
      <w:szCs w:val="28"/>
    </w:rPr>
  </w:style>
  <w:style w:type="character" w:customStyle="1" w:styleId="Heading3Char">
    <w:name w:val="Heading 3 Char"/>
    <w:basedOn w:val="DefaultParagraphFont"/>
    <w:link w:val="Heading3"/>
    <w:uiPriority w:val="1"/>
    <w:rsid w:val="00DC0089"/>
    <w:rPr>
      <w:rFonts w:ascii="Arial" w:eastAsiaTheme="majorEastAsia" w:hAnsi="Arial" w:cstheme="majorBidi"/>
      <w:b/>
      <w:bCs/>
      <w:color w:val="003478"/>
      <w:sz w:val="28"/>
      <w:szCs w:val="28"/>
    </w:rPr>
  </w:style>
  <w:style w:type="character" w:customStyle="1" w:styleId="Heading4Char">
    <w:name w:val="Heading 4 Char"/>
    <w:basedOn w:val="DefaultParagraphFont"/>
    <w:link w:val="Heading4"/>
    <w:uiPriority w:val="1"/>
    <w:rsid w:val="00EF0BA5"/>
    <w:rPr>
      <w:rFonts w:ascii="Arial" w:eastAsiaTheme="majorEastAsia" w:hAnsi="Arial" w:cstheme="majorBidi"/>
      <w:b/>
      <w:iCs/>
      <w:color w:val="000000" w:themeColor="text1"/>
      <w:szCs w:val="28"/>
    </w:rPr>
  </w:style>
  <w:style w:type="character" w:customStyle="1" w:styleId="Heading5Char">
    <w:name w:val="Heading 5 Char"/>
    <w:basedOn w:val="DefaultParagraphFont"/>
    <w:link w:val="Heading5"/>
    <w:uiPriority w:val="9"/>
    <w:semiHidden/>
    <w:rsid w:val="002B03DD"/>
    <w:rPr>
      <w:rFonts w:ascii="Arial" w:eastAsiaTheme="majorEastAsia" w:hAnsi="Arial" w:cstheme="majorBidi"/>
      <w:color w:val="243F60" w:themeColor="accent1" w:themeShade="7F"/>
      <w:sz w:val="20"/>
    </w:rPr>
  </w:style>
  <w:style w:type="character" w:customStyle="1" w:styleId="Heading6Char">
    <w:name w:val="Heading 6 Char"/>
    <w:basedOn w:val="DefaultParagraphFont"/>
    <w:link w:val="Heading6"/>
    <w:uiPriority w:val="9"/>
    <w:semiHidden/>
    <w:rsid w:val="002B03DD"/>
    <w:rPr>
      <w:rFonts w:ascii="Arial" w:eastAsiaTheme="majorEastAsia" w:hAnsi="Arial" w:cstheme="majorBidi"/>
      <w:i/>
      <w:iCs/>
      <w:color w:val="243F60" w:themeColor="accent1" w:themeShade="7F"/>
      <w:sz w:val="20"/>
    </w:rPr>
  </w:style>
  <w:style w:type="character" w:customStyle="1" w:styleId="Heading7Char">
    <w:name w:val="Heading 7 Char"/>
    <w:basedOn w:val="DefaultParagraphFont"/>
    <w:link w:val="Heading7"/>
    <w:uiPriority w:val="9"/>
    <w:semiHidden/>
    <w:rsid w:val="002B03DD"/>
    <w:rPr>
      <w:rFonts w:ascii="Arial" w:eastAsiaTheme="majorEastAsia" w:hAnsi="Arial" w:cstheme="majorBidi"/>
      <w:i/>
      <w:iCs/>
      <w:color w:val="404040" w:themeColor="text1" w:themeTint="BF"/>
      <w:sz w:val="20"/>
    </w:rPr>
  </w:style>
  <w:style w:type="character" w:customStyle="1" w:styleId="Heading8Char">
    <w:name w:val="Heading 8 Char"/>
    <w:basedOn w:val="DefaultParagraphFont"/>
    <w:link w:val="Heading8"/>
    <w:uiPriority w:val="9"/>
    <w:semiHidden/>
    <w:rsid w:val="002B03DD"/>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B03DD"/>
    <w:rPr>
      <w:rFonts w:ascii="Arial" w:eastAsiaTheme="majorEastAsia" w:hAnsi="Arial" w:cstheme="majorBidi"/>
      <w:i/>
      <w:iCs/>
      <w:color w:val="404040" w:themeColor="text1" w:themeTint="BF"/>
      <w:sz w:val="20"/>
      <w:szCs w:val="20"/>
    </w:rPr>
  </w:style>
  <w:style w:type="paragraph" w:styleId="TOCHeading">
    <w:name w:val="TOC Heading"/>
    <w:basedOn w:val="Normal"/>
    <w:next w:val="Normal"/>
    <w:uiPriority w:val="8"/>
    <w:unhideWhenUsed/>
    <w:qFormat/>
    <w:rsid w:val="00DC0089"/>
    <w:pPr>
      <w:pBdr>
        <w:bottom w:val="single" w:sz="18" w:space="3" w:color="C4BC96"/>
      </w:pBdr>
      <w:spacing w:after="200"/>
    </w:pPr>
    <w:rPr>
      <w:b/>
      <w:bCs/>
      <w:caps/>
      <w:color w:val="003478"/>
      <w:sz w:val="28"/>
      <w:szCs w:val="28"/>
    </w:rPr>
  </w:style>
  <w:style w:type="paragraph" w:styleId="TOC1">
    <w:name w:val="toc 1"/>
    <w:basedOn w:val="Normal"/>
    <w:next w:val="Normal"/>
    <w:uiPriority w:val="39"/>
    <w:unhideWhenUsed/>
    <w:rsid w:val="008F2A65"/>
    <w:pPr>
      <w:tabs>
        <w:tab w:val="right" w:leader="dot" w:pos="10070"/>
      </w:tabs>
      <w:spacing w:before="120"/>
    </w:pPr>
    <w:rPr>
      <w:b/>
      <w:caps/>
      <w:noProof/>
      <w:szCs w:val="22"/>
    </w:rPr>
  </w:style>
  <w:style w:type="paragraph" w:styleId="TOC2">
    <w:name w:val="toc 2"/>
    <w:basedOn w:val="TOC1"/>
    <w:next w:val="Normal"/>
    <w:autoRedefine/>
    <w:uiPriority w:val="39"/>
    <w:unhideWhenUsed/>
    <w:rsid w:val="008F2A65"/>
    <w:pPr>
      <w:ind w:left="360"/>
    </w:pPr>
    <w:rPr>
      <w:b w:val="0"/>
      <w:caps w:val="0"/>
    </w:rPr>
  </w:style>
  <w:style w:type="paragraph" w:styleId="TOC3">
    <w:name w:val="toc 3"/>
    <w:basedOn w:val="TOC2"/>
    <w:next w:val="Normal"/>
    <w:autoRedefine/>
    <w:uiPriority w:val="39"/>
    <w:unhideWhenUsed/>
    <w:rsid w:val="008F2A65"/>
    <w:pPr>
      <w:ind w:left="720"/>
    </w:pPr>
  </w:style>
  <w:style w:type="paragraph" w:styleId="TOC4">
    <w:name w:val="toc 4"/>
    <w:basedOn w:val="TOC3"/>
    <w:next w:val="Normal"/>
    <w:autoRedefine/>
    <w:uiPriority w:val="39"/>
    <w:unhideWhenUsed/>
    <w:rsid w:val="008F2A65"/>
    <w:pPr>
      <w:ind w:left="1080"/>
    </w:pPr>
    <w:rPr>
      <w:szCs w:val="18"/>
    </w:rPr>
  </w:style>
  <w:style w:type="paragraph" w:styleId="TOC5">
    <w:name w:val="toc 5"/>
    <w:basedOn w:val="Normal"/>
    <w:next w:val="Normal"/>
    <w:autoRedefine/>
    <w:uiPriority w:val="39"/>
    <w:semiHidden/>
    <w:rsid w:val="005D330C"/>
    <w:pPr>
      <w:ind w:left="800"/>
    </w:pPr>
    <w:rPr>
      <w:rFonts w:asciiTheme="minorHAnsi" w:hAnsiTheme="minorHAnsi"/>
      <w:sz w:val="18"/>
      <w:szCs w:val="18"/>
    </w:rPr>
  </w:style>
  <w:style w:type="paragraph" w:styleId="TOC6">
    <w:name w:val="toc 6"/>
    <w:basedOn w:val="Normal"/>
    <w:next w:val="Normal"/>
    <w:autoRedefine/>
    <w:uiPriority w:val="39"/>
    <w:semiHidden/>
    <w:rsid w:val="005D330C"/>
    <w:pPr>
      <w:ind w:left="1000"/>
    </w:pPr>
    <w:rPr>
      <w:rFonts w:asciiTheme="minorHAnsi" w:hAnsiTheme="minorHAnsi"/>
      <w:sz w:val="18"/>
      <w:szCs w:val="18"/>
    </w:rPr>
  </w:style>
  <w:style w:type="paragraph" w:styleId="TOC7">
    <w:name w:val="toc 7"/>
    <w:basedOn w:val="Normal"/>
    <w:next w:val="Normal"/>
    <w:autoRedefine/>
    <w:uiPriority w:val="39"/>
    <w:semiHidden/>
    <w:rsid w:val="005D330C"/>
    <w:pPr>
      <w:ind w:left="1200"/>
    </w:pPr>
    <w:rPr>
      <w:rFonts w:asciiTheme="minorHAnsi" w:hAnsiTheme="minorHAnsi"/>
      <w:sz w:val="18"/>
      <w:szCs w:val="18"/>
    </w:rPr>
  </w:style>
  <w:style w:type="paragraph" w:styleId="TOC8">
    <w:name w:val="toc 8"/>
    <w:basedOn w:val="Normal"/>
    <w:next w:val="Normal"/>
    <w:autoRedefine/>
    <w:uiPriority w:val="39"/>
    <w:semiHidden/>
    <w:rsid w:val="005D330C"/>
    <w:pPr>
      <w:ind w:left="1400"/>
    </w:pPr>
    <w:rPr>
      <w:rFonts w:asciiTheme="minorHAnsi" w:hAnsiTheme="minorHAnsi"/>
      <w:sz w:val="18"/>
      <w:szCs w:val="18"/>
    </w:rPr>
  </w:style>
  <w:style w:type="paragraph" w:styleId="TOC9">
    <w:name w:val="toc 9"/>
    <w:basedOn w:val="Normal"/>
    <w:next w:val="Normal"/>
    <w:autoRedefine/>
    <w:uiPriority w:val="39"/>
    <w:semiHidden/>
    <w:rsid w:val="005D330C"/>
    <w:pPr>
      <w:ind w:left="1600"/>
    </w:pPr>
    <w:rPr>
      <w:rFonts w:asciiTheme="minorHAnsi" w:hAnsiTheme="minorHAnsi"/>
      <w:sz w:val="18"/>
      <w:szCs w:val="18"/>
    </w:rPr>
  </w:style>
  <w:style w:type="paragraph" w:styleId="NormalWeb">
    <w:name w:val="Normal (Web)"/>
    <w:basedOn w:val="Normal"/>
    <w:uiPriority w:val="99"/>
    <w:semiHidden/>
    <w:rsid w:val="00850554"/>
    <w:pPr>
      <w:spacing w:before="100" w:beforeAutospacing="1" w:after="100" w:afterAutospacing="1"/>
    </w:pPr>
    <w:rPr>
      <w:rFonts w:ascii="Times" w:hAnsi="Times" w:cs="Times New Roman"/>
      <w:szCs w:val="20"/>
    </w:rPr>
  </w:style>
  <w:style w:type="paragraph" w:styleId="ListBullet">
    <w:name w:val="List Bullet"/>
    <w:basedOn w:val="Normal"/>
    <w:uiPriority w:val="4"/>
    <w:unhideWhenUsed/>
    <w:rsid w:val="00574C27"/>
    <w:pPr>
      <w:numPr>
        <w:numId w:val="3"/>
      </w:numPr>
      <w:spacing w:after="60"/>
    </w:pPr>
  </w:style>
  <w:style w:type="paragraph" w:styleId="ListBullet2">
    <w:name w:val="List Bullet 2"/>
    <w:basedOn w:val="ListBullet"/>
    <w:next w:val="ListBullet"/>
    <w:uiPriority w:val="4"/>
    <w:unhideWhenUsed/>
    <w:rsid w:val="00167886"/>
    <w:pPr>
      <w:numPr>
        <w:ilvl w:val="1"/>
        <w:numId w:val="4"/>
      </w:numPr>
    </w:pPr>
  </w:style>
  <w:style w:type="paragraph" w:styleId="ListBullet3">
    <w:name w:val="List Bullet 3"/>
    <w:basedOn w:val="ListBullet"/>
    <w:uiPriority w:val="4"/>
    <w:unhideWhenUsed/>
    <w:rsid w:val="001C0A15"/>
    <w:pPr>
      <w:numPr>
        <w:ilvl w:val="2"/>
        <w:numId w:val="2"/>
      </w:numPr>
    </w:pPr>
  </w:style>
  <w:style w:type="paragraph" w:styleId="ListBullet4">
    <w:name w:val="List Bullet 4"/>
    <w:basedOn w:val="ListBullet"/>
    <w:uiPriority w:val="4"/>
    <w:unhideWhenUsed/>
    <w:rsid w:val="001C0A15"/>
    <w:pPr>
      <w:numPr>
        <w:ilvl w:val="3"/>
        <w:numId w:val="2"/>
      </w:numPr>
    </w:pPr>
  </w:style>
  <w:style w:type="paragraph" w:styleId="ListBullet5">
    <w:name w:val="List Bullet 5"/>
    <w:basedOn w:val="ListBullet"/>
    <w:uiPriority w:val="4"/>
    <w:unhideWhenUsed/>
    <w:rsid w:val="001C0A15"/>
    <w:pPr>
      <w:numPr>
        <w:ilvl w:val="4"/>
        <w:numId w:val="2"/>
      </w:numPr>
    </w:pPr>
  </w:style>
  <w:style w:type="paragraph" w:styleId="List3">
    <w:name w:val="List 3"/>
    <w:basedOn w:val="Normal"/>
    <w:uiPriority w:val="99"/>
    <w:semiHidden/>
    <w:rsid w:val="006C01ED"/>
    <w:pPr>
      <w:ind w:left="1080" w:hanging="360"/>
      <w:contextualSpacing/>
    </w:pPr>
  </w:style>
  <w:style w:type="character" w:styleId="Strong">
    <w:name w:val="Strong"/>
    <w:basedOn w:val="DefaultParagraphFont"/>
    <w:uiPriority w:val="2"/>
    <w:qFormat/>
    <w:rsid w:val="00680571"/>
    <w:rPr>
      <w:b/>
      <w:bCs/>
    </w:rPr>
  </w:style>
  <w:style w:type="character" w:styleId="Emphasis">
    <w:name w:val="Emphasis"/>
    <w:basedOn w:val="DefaultParagraphFont"/>
    <w:uiPriority w:val="3"/>
    <w:qFormat/>
    <w:rsid w:val="00DC0089"/>
    <w:rPr>
      <w:i/>
      <w:iCs/>
      <w:color w:val="003478"/>
    </w:rPr>
  </w:style>
  <w:style w:type="character" w:styleId="IntenseEmphasis">
    <w:name w:val="Intense Emphasis"/>
    <w:basedOn w:val="DefaultParagraphFont"/>
    <w:uiPriority w:val="3"/>
    <w:qFormat/>
    <w:rsid w:val="00AB7835"/>
    <w:rPr>
      <w:b/>
      <w:bCs/>
      <w:i/>
      <w:iCs/>
      <w:color w:val="auto"/>
    </w:rPr>
  </w:style>
  <w:style w:type="character" w:styleId="Hyperlink">
    <w:name w:val="Hyperlink"/>
    <w:basedOn w:val="DefaultParagraphFont"/>
    <w:uiPriority w:val="99"/>
    <w:rsid w:val="009728CC"/>
    <w:rPr>
      <w:color w:val="005596"/>
      <w:u w:val="single"/>
    </w:rPr>
  </w:style>
  <w:style w:type="paragraph" w:styleId="Index1">
    <w:name w:val="index 1"/>
    <w:basedOn w:val="Normal"/>
    <w:next w:val="Normal"/>
    <w:autoRedefine/>
    <w:uiPriority w:val="99"/>
    <w:semiHidden/>
    <w:rsid w:val="00901B07"/>
    <w:pPr>
      <w:spacing w:after="0"/>
      <w:ind w:left="200" w:hanging="200"/>
    </w:pPr>
  </w:style>
  <w:style w:type="paragraph" w:styleId="Caption">
    <w:name w:val="caption"/>
    <w:aliases w:val="Caption_Figure"/>
    <w:basedOn w:val="Normal"/>
    <w:next w:val="TableNoSpacing"/>
    <w:link w:val="CaptionChar"/>
    <w:uiPriority w:val="35"/>
    <w:qFormat/>
    <w:rsid w:val="00DD6B6C"/>
    <w:pPr>
      <w:spacing w:before="240"/>
    </w:pPr>
    <w:rPr>
      <w:b/>
      <w:bCs/>
      <w:szCs w:val="18"/>
    </w:rPr>
  </w:style>
  <w:style w:type="paragraph" w:styleId="NoSpacing">
    <w:name w:val="No Spacing"/>
    <w:link w:val="NoSpacingChar"/>
    <w:uiPriority w:val="1"/>
    <w:qFormat/>
    <w:rsid w:val="00460B3D"/>
    <w:rPr>
      <w:rFonts w:ascii="Arial" w:hAnsi="Arial"/>
      <w:sz w:val="20"/>
    </w:rPr>
  </w:style>
  <w:style w:type="paragraph" w:customStyle="1" w:styleId="TableNoSpacing">
    <w:name w:val="Table No Spacing"/>
    <w:basedOn w:val="Normal"/>
    <w:uiPriority w:val="6"/>
    <w:qFormat/>
    <w:rsid w:val="001C0A15"/>
    <w:pPr>
      <w:spacing w:after="0"/>
    </w:pPr>
  </w:style>
  <w:style w:type="paragraph" w:customStyle="1" w:styleId="TableBullet">
    <w:name w:val="Table Bullet"/>
    <w:basedOn w:val="ListBullet"/>
    <w:uiPriority w:val="6"/>
    <w:qFormat/>
    <w:rsid w:val="005B26A0"/>
    <w:pPr>
      <w:numPr>
        <w:numId w:val="1"/>
      </w:numPr>
      <w:spacing w:after="0"/>
    </w:pPr>
  </w:style>
  <w:style w:type="paragraph" w:customStyle="1" w:styleId="TableBullet2">
    <w:name w:val="Table Bullet 2"/>
    <w:basedOn w:val="ListBullet2"/>
    <w:uiPriority w:val="6"/>
    <w:qFormat/>
    <w:rsid w:val="005B26A0"/>
    <w:pPr>
      <w:numPr>
        <w:ilvl w:val="0"/>
        <w:numId w:val="5"/>
      </w:numPr>
      <w:spacing w:after="0"/>
      <w:contextualSpacing/>
    </w:pPr>
  </w:style>
  <w:style w:type="character" w:styleId="SubtleEmphasis">
    <w:name w:val="Subtle Emphasis"/>
    <w:basedOn w:val="DefaultParagraphFont"/>
    <w:uiPriority w:val="3"/>
    <w:qFormat/>
    <w:rsid w:val="00AB7835"/>
    <w:rPr>
      <w:i/>
      <w:iCs/>
      <w:color w:val="auto"/>
    </w:rPr>
  </w:style>
  <w:style w:type="paragraph" w:styleId="ListParagraph">
    <w:name w:val="List Paragraph"/>
    <w:basedOn w:val="Normal"/>
    <w:uiPriority w:val="34"/>
    <w:qFormat/>
    <w:rsid w:val="00574C27"/>
    <w:pPr>
      <w:ind w:left="720"/>
      <w:contextualSpacing/>
    </w:pPr>
  </w:style>
  <w:style w:type="table" w:customStyle="1" w:styleId="TableCustom">
    <w:name w:val="Table Custom"/>
    <w:basedOn w:val="TableNormal"/>
    <w:uiPriority w:val="99"/>
    <w:rsid w:val="008B686D"/>
    <w:rPr>
      <w:sz w:val="20"/>
    </w:rPr>
    <w:tblPr>
      <w:tblStyleRowBandSize w:val="1"/>
      <w:tblStyleColBandSize w:val="1"/>
      <w:tblBorders>
        <w:top w:val="single" w:sz="12" w:space="0" w:color="005596"/>
        <w:bottom w:val="single" w:sz="12" w:space="0" w:color="005596"/>
        <w:insideH w:val="single" w:sz="4" w:space="0" w:color="B8CCE4" w:themeColor="accent1" w:themeTint="66"/>
        <w:insideV w:val="single" w:sz="4" w:space="0" w:color="B8CCE4" w:themeColor="accent1" w:themeTint="66"/>
      </w:tblBorders>
      <w:tblCellMar>
        <w:top w:w="43" w:type="dxa"/>
        <w:left w:w="115" w:type="dxa"/>
        <w:bottom w:w="43" w:type="dxa"/>
        <w:right w:w="115" w:type="dxa"/>
      </w:tblCellMar>
    </w:tblPr>
    <w:tcPr>
      <w:shd w:val="clear" w:color="auto" w:fill="auto"/>
    </w:tcPr>
    <w:tblStylePr w:type="firstRow">
      <w:rPr>
        <w:rFonts w:ascii="Arial" w:hAnsi="Arial"/>
        <w:b/>
        <w:color w:val="FFFFFF" w:themeColor="background1"/>
        <w:sz w:val="20"/>
      </w:rPr>
      <w:tblPr/>
      <w:tcPr>
        <w:shd w:val="clear" w:color="auto" w:fill="005596"/>
      </w:tcPr>
    </w:tblStylePr>
    <w:tblStylePr w:type="lastRow">
      <w:tblPr/>
      <w:tcPr>
        <w:shd w:val="clear" w:color="auto" w:fill="EDF2F4"/>
      </w:tcPr>
    </w:tblStylePr>
    <w:tblStylePr w:type="firstCol">
      <w:rPr>
        <w:b w:val="0"/>
      </w:rPr>
      <w:tblPr/>
      <w:tcPr>
        <w:shd w:val="clear" w:color="auto" w:fill="EDF2F4"/>
      </w:tcPr>
    </w:tblStylePr>
    <w:tblStylePr w:type="lastCol">
      <w:tblPr/>
      <w:tcPr>
        <w:shd w:val="clear" w:color="auto" w:fill="EDF2F4"/>
      </w:tcPr>
    </w:tblStylePr>
    <w:tblStylePr w:type="band1Vert">
      <w:tblPr/>
      <w:tcPr>
        <w:shd w:val="clear" w:color="auto" w:fill="EDF2F4"/>
      </w:tcPr>
    </w:tblStylePr>
    <w:tblStylePr w:type="band2Horz">
      <w:tblPr/>
      <w:tcPr>
        <w:shd w:val="clear" w:color="auto" w:fill="EDF2F4"/>
      </w:tcPr>
    </w:tblStylePr>
  </w:style>
  <w:style w:type="character" w:customStyle="1" w:styleId="StrongBlue">
    <w:name w:val="Strong Blue"/>
    <w:basedOn w:val="Strong"/>
    <w:uiPriority w:val="2"/>
    <w:qFormat/>
    <w:rsid w:val="00DC0089"/>
    <w:rPr>
      <w:b/>
      <w:bCs/>
      <w:color w:val="003478"/>
    </w:rPr>
  </w:style>
  <w:style w:type="character" w:customStyle="1" w:styleId="IntenseEmphasisBlue">
    <w:name w:val="Intense Emphasis Blue"/>
    <w:basedOn w:val="IntenseEmphasis"/>
    <w:uiPriority w:val="3"/>
    <w:qFormat/>
    <w:rsid w:val="00DC0089"/>
    <w:rPr>
      <w:b/>
      <w:bCs/>
      <w:i/>
      <w:iCs/>
      <w:color w:val="003478"/>
    </w:rPr>
  </w:style>
  <w:style w:type="numbering" w:customStyle="1" w:styleId="Headings">
    <w:name w:val="Headings"/>
    <w:uiPriority w:val="99"/>
    <w:rsid w:val="00E35CD3"/>
    <w:pPr>
      <w:numPr>
        <w:numId w:val="6"/>
      </w:numPr>
    </w:pPr>
  </w:style>
  <w:style w:type="paragraph" w:customStyle="1" w:styleId="CoverSheetTitle">
    <w:name w:val="Cover Sheet Title"/>
    <w:basedOn w:val="Normal"/>
    <w:qFormat/>
    <w:rsid w:val="00DC0089"/>
    <w:pPr>
      <w:spacing w:line="240" w:lineRule="auto"/>
    </w:pPr>
    <w:rPr>
      <w:b/>
      <w:color w:val="003478"/>
      <w:sz w:val="48"/>
      <w:szCs w:val="56"/>
    </w:rPr>
  </w:style>
  <w:style w:type="character" w:customStyle="1" w:styleId="NoSpacingChar">
    <w:name w:val="No Spacing Char"/>
    <w:basedOn w:val="DefaultParagraphFont"/>
    <w:link w:val="NoSpacing"/>
    <w:uiPriority w:val="1"/>
    <w:rsid w:val="001F7F47"/>
    <w:rPr>
      <w:rFonts w:ascii="Arial" w:hAnsi="Arial"/>
      <w:sz w:val="20"/>
    </w:rPr>
  </w:style>
  <w:style w:type="paragraph" w:styleId="Bibliography">
    <w:name w:val="Bibliography"/>
    <w:basedOn w:val="Normal"/>
    <w:next w:val="Normal"/>
    <w:uiPriority w:val="40"/>
    <w:unhideWhenUsed/>
    <w:rsid w:val="00F23084"/>
  </w:style>
  <w:style w:type="paragraph" w:styleId="FootnoteText">
    <w:name w:val="footnote text"/>
    <w:basedOn w:val="Normal"/>
    <w:link w:val="FootnoteTextChar"/>
    <w:uiPriority w:val="99"/>
    <w:semiHidden/>
    <w:rsid w:val="00F23084"/>
    <w:pPr>
      <w:spacing w:after="0" w:line="240" w:lineRule="auto"/>
    </w:pPr>
    <w:rPr>
      <w:szCs w:val="20"/>
    </w:rPr>
  </w:style>
  <w:style w:type="character" w:customStyle="1" w:styleId="FootnoteTextChar">
    <w:name w:val="Footnote Text Char"/>
    <w:basedOn w:val="DefaultParagraphFont"/>
    <w:link w:val="FootnoteText"/>
    <w:uiPriority w:val="99"/>
    <w:semiHidden/>
    <w:rsid w:val="00F23084"/>
    <w:rPr>
      <w:rFonts w:ascii="Arial" w:hAnsi="Arial"/>
      <w:sz w:val="20"/>
      <w:szCs w:val="20"/>
    </w:rPr>
  </w:style>
  <w:style w:type="character" w:styleId="FootnoteReference">
    <w:name w:val="footnote reference"/>
    <w:basedOn w:val="DefaultParagraphFont"/>
    <w:uiPriority w:val="99"/>
    <w:semiHidden/>
    <w:rsid w:val="00F23084"/>
    <w:rPr>
      <w:vertAlign w:val="superscript"/>
    </w:rPr>
  </w:style>
  <w:style w:type="paragraph" w:customStyle="1" w:styleId="AppendixHeading">
    <w:name w:val="Appendix Heading"/>
    <w:basedOn w:val="Heading1"/>
    <w:next w:val="Normal"/>
    <w:uiPriority w:val="41"/>
    <w:qFormat/>
    <w:rsid w:val="00DC0089"/>
    <w:pPr>
      <w:numPr>
        <w:numId w:val="0"/>
      </w:numPr>
    </w:pPr>
  </w:style>
  <w:style w:type="paragraph" w:styleId="TableofFigures">
    <w:name w:val="table of figures"/>
    <w:basedOn w:val="Normal"/>
    <w:next w:val="Normal"/>
    <w:uiPriority w:val="99"/>
    <w:semiHidden/>
    <w:rsid w:val="001F3242"/>
    <w:pPr>
      <w:spacing w:after="0"/>
    </w:pPr>
  </w:style>
  <w:style w:type="paragraph" w:customStyle="1" w:styleId="TtFooter-EntityName">
    <w:name w:val="Tt Footer - Entity Name"/>
    <w:link w:val="TtFooter-EntityNameChar"/>
    <w:uiPriority w:val="74"/>
    <w:qFormat/>
    <w:rsid w:val="00DC0089"/>
    <w:pPr>
      <w:spacing w:line="240" w:lineRule="exact"/>
      <w:jc w:val="right"/>
    </w:pPr>
    <w:rPr>
      <w:rFonts w:ascii="Gill Sans MT" w:hAnsi="Gill Sans MT"/>
      <w:color w:val="003478"/>
      <w:sz w:val="22"/>
      <w:szCs w:val="21"/>
    </w:rPr>
  </w:style>
  <w:style w:type="paragraph" w:customStyle="1" w:styleId="TtFooter-Label">
    <w:name w:val="Tt Footer - Label"/>
    <w:basedOn w:val="Footer"/>
    <w:link w:val="TtFooter-LabelChar"/>
    <w:uiPriority w:val="74"/>
    <w:qFormat/>
    <w:rsid w:val="00DC0089"/>
    <w:pPr>
      <w:spacing w:line="210" w:lineRule="exact"/>
      <w:jc w:val="right"/>
    </w:pPr>
    <w:rPr>
      <w:rFonts w:ascii="Gill Sans MT" w:hAnsi="Gill Sans MT"/>
      <w:color w:val="003478"/>
      <w:szCs w:val="17"/>
    </w:rPr>
  </w:style>
  <w:style w:type="paragraph" w:customStyle="1" w:styleId="TtFooter-AddressLine">
    <w:name w:val="Tt Footer - Address Line"/>
    <w:basedOn w:val="Footer"/>
    <w:link w:val="TtFooter-AddressLineChar"/>
    <w:uiPriority w:val="74"/>
    <w:qFormat/>
    <w:rsid w:val="00C24D4E"/>
    <w:pPr>
      <w:spacing w:line="240" w:lineRule="exact"/>
      <w:jc w:val="right"/>
    </w:pPr>
    <w:rPr>
      <w:rFonts w:ascii="Gill Sans MT" w:hAnsi="Gill Sans MT"/>
      <w:color w:val="808080" w:themeColor="background1" w:themeShade="80"/>
      <w:szCs w:val="17"/>
    </w:rPr>
  </w:style>
  <w:style w:type="paragraph" w:customStyle="1" w:styleId="TtFooter-Text">
    <w:name w:val="Tt Footer - Text"/>
    <w:link w:val="TtFooter-TextChar"/>
    <w:uiPriority w:val="74"/>
    <w:qFormat/>
    <w:rsid w:val="00C24D4E"/>
    <w:pPr>
      <w:jc w:val="right"/>
    </w:pPr>
    <w:rPr>
      <w:rFonts w:ascii="Gill Sans MT" w:hAnsi="Gill Sans MT"/>
      <w:color w:val="808080" w:themeColor="background1" w:themeShade="80"/>
      <w:sz w:val="20"/>
      <w:szCs w:val="17"/>
    </w:rPr>
  </w:style>
  <w:style w:type="character" w:customStyle="1" w:styleId="TtFooter-TextChar">
    <w:name w:val="Tt Footer - Text Char"/>
    <w:basedOn w:val="DefaultParagraphFont"/>
    <w:link w:val="TtFooter-Text"/>
    <w:uiPriority w:val="74"/>
    <w:rsid w:val="00C24D4E"/>
    <w:rPr>
      <w:rFonts w:ascii="Gill Sans MT" w:hAnsi="Gill Sans MT"/>
      <w:color w:val="808080" w:themeColor="background1" w:themeShade="80"/>
      <w:sz w:val="20"/>
      <w:szCs w:val="17"/>
    </w:rPr>
  </w:style>
  <w:style w:type="character" w:customStyle="1" w:styleId="TtFooter-LabelChar">
    <w:name w:val="Tt Footer - Label Char"/>
    <w:basedOn w:val="FooterChar"/>
    <w:link w:val="TtFooter-Label"/>
    <w:uiPriority w:val="74"/>
    <w:rsid w:val="00DC0089"/>
    <w:rPr>
      <w:rFonts w:ascii="Gill Sans MT" w:hAnsi="Gill Sans MT"/>
      <w:color w:val="003478"/>
      <w:sz w:val="20"/>
      <w:szCs w:val="17"/>
    </w:rPr>
  </w:style>
  <w:style w:type="character" w:customStyle="1" w:styleId="TtFooter-EntityNameChar">
    <w:name w:val="Tt Footer - Entity Name Char"/>
    <w:basedOn w:val="DefaultParagraphFont"/>
    <w:link w:val="TtFooter-EntityName"/>
    <w:uiPriority w:val="74"/>
    <w:rsid w:val="00DC0089"/>
    <w:rPr>
      <w:rFonts w:ascii="Gill Sans MT" w:hAnsi="Gill Sans MT"/>
      <w:color w:val="003478"/>
      <w:sz w:val="22"/>
      <w:szCs w:val="21"/>
    </w:rPr>
  </w:style>
  <w:style w:type="character" w:customStyle="1" w:styleId="TtFooter-AddressLineChar">
    <w:name w:val="Tt Footer - Address Line Char"/>
    <w:basedOn w:val="FooterChar"/>
    <w:link w:val="TtFooter-AddressLine"/>
    <w:uiPriority w:val="74"/>
    <w:rsid w:val="00C24D4E"/>
    <w:rPr>
      <w:rFonts w:ascii="Gill Sans MT" w:hAnsi="Gill Sans MT"/>
      <w:color w:val="808080" w:themeColor="background1" w:themeShade="80"/>
      <w:sz w:val="20"/>
      <w:szCs w:val="17"/>
    </w:rPr>
  </w:style>
  <w:style w:type="character" w:styleId="PlaceholderText">
    <w:name w:val="Placeholder Text"/>
    <w:basedOn w:val="DefaultParagraphFont"/>
    <w:uiPriority w:val="99"/>
    <w:semiHidden/>
    <w:rsid w:val="00001C2E"/>
    <w:rPr>
      <w:color w:val="808080"/>
    </w:rPr>
  </w:style>
  <w:style w:type="paragraph" w:customStyle="1" w:styleId="TtHeader-Title1">
    <w:name w:val="Tt Header - Title 1"/>
    <w:basedOn w:val="Heading1"/>
    <w:link w:val="TtHeader-Title1Char"/>
    <w:uiPriority w:val="74"/>
    <w:qFormat/>
    <w:rsid w:val="00DC0089"/>
    <w:pPr>
      <w:keepNext w:val="0"/>
      <w:keepLines w:val="0"/>
      <w:numPr>
        <w:numId w:val="0"/>
      </w:numPr>
      <w:pBdr>
        <w:top w:val="none" w:sz="0" w:space="0" w:color="auto"/>
        <w:left w:val="none" w:sz="0" w:space="0" w:color="auto"/>
        <w:bottom w:val="none" w:sz="0" w:space="0" w:color="auto"/>
        <w:right w:val="none" w:sz="0" w:space="0" w:color="auto"/>
      </w:pBdr>
      <w:shd w:val="clear" w:color="auto" w:fill="auto"/>
      <w:tabs>
        <w:tab w:val="left" w:pos="1800"/>
      </w:tabs>
      <w:spacing w:before="0" w:after="0" w:line="240" w:lineRule="auto"/>
      <w:jc w:val="right"/>
    </w:pPr>
    <w:rPr>
      <w:rFonts w:ascii="Gill Sans MT" w:hAnsi="Gill Sans MT"/>
      <w:b w:val="0"/>
      <w:bCs w:val="0"/>
      <w:caps w:val="0"/>
      <w:color w:val="003478"/>
      <w:sz w:val="72"/>
      <w:szCs w:val="72"/>
    </w:rPr>
  </w:style>
  <w:style w:type="character" w:customStyle="1" w:styleId="TtHeader-Title1Char">
    <w:name w:val="Tt Header - Title 1 Char"/>
    <w:basedOn w:val="Heading1Char"/>
    <w:link w:val="TtHeader-Title1"/>
    <w:uiPriority w:val="74"/>
    <w:rsid w:val="00DC0089"/>
    <w:rPr>
      <w:rFonts w:ascii="Gill Sans MT" w:eastAsiaTheme="majorEastAsia" w:hAnsi="Gill Sans MT" w:cstheme="majorBidi"/>
      <w:b w:val="0"/>
      <w:bCs w:val="0"/>
      <w:caps w:val="0"/>
      <w:color w:val="003478"/>
      <w:sz w:val="72"/>
      <w:szCs w:val="72"/>
      <w:shd w:val="clear" w:color="auto" w:fill="005596"/>
    </w:rPr>
  </w:style>
  <w:style w:type="character" w:styleId="CommentReference">
    <w:name w:val="annotation reference"/>
    <w:basedOn w:val="DefaultParagraphFont"/>
    <w:uiPriority w:val="99"/>
    <w:semiHidden/>
    <w:unhideWhenUsed/>
    <w:rsid w:val="000C2F21"/>
    <w:rPr>
      <w:sz w:val="16"/>
      <w:szCs w:val="16"/>
    </w:rPr>
  </w:style>
  <w:style w:type="paragraph" w:styleId="CommentText">
    <w:name w:val="annotation text"/>
    <w:basedOn w:val="Normal"/>
    <w:link w:val="CommentTextChar"/>
    <w:uiPriority w:val="99"/>
    <w:unhideWhenUsed/>
    <w:rsid w:val="000C2F21"/>
    <w:pPr>
      <w:spacing w:line="240" w:lineRule="auto"/>
    </w:pPr>
    <w:rPr>
      <w:szCs w:val="20"/>
    </w:rPr>
  </w:style>
  <w:style w:type="character" w:customStyle="1" w:styleId="CommentTextChar">
    <w:name w:val="Comment Text Char"/>
    <w:basedOn w:val="DefaultParagraphFont"/>
    <w:link w:val="CommentText"/>
    <w:uiPriority w:val="99"/>
    <w:rsid w:val="000C2F2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2F21"/>
    <w:rPr>
      <w:b/>
      <w:bCs/>
    </w:rPr>
  </w:style>
  <w:style w:type="character" w:customStyle="1" w:styleId="CommentSubjectChar">
    <w:name w:val="Comment Subject Char"/>
    <w:basedOn w:val="CommentTextChar"/>
    <w:link w:val="CommentSubject"/>
    <w:uiPriority w:val="99"/>
    <w:semiHidden/>
    <w:rsid w:val="000C2F21"/>
    <w:rPr>
      <w:rFonts w:ascii="Arial" w:hAnsi="Arial"/>
      <w:b/>
      <w:bCs/>
      <w:sz w:val="20"/>
      <w:szCs w:val="20"/>
    </w:rPr>
  </w:style>
  <w:style w:type="character" w:customStyle="1" w:styleId="UnresolvedMention1">
    <w:name w:val="Unresolved Mention1"/>
    <w:basedOn w:val="DefaultParagraphFont"/>
    <w:uiPriority w:val="99"/>
    <w:semiHidden/>
    <w:unhideWhenUsed/>
    <w:rsid w:val="004B21F5"/>
    <w:rPr>
      <w:color w:val="605E5C"/>
      <w:shd w:val="clear" w:color="auto" w:fill="E1DFDD"/>
    </w:rPr>
  </w:style>
  <w:style w:type="character" w:customStyle="1" w:styleId="UnresolvedMention2">
    <w:name w:val="Unresolved Mention2"/>
    <w:basedOn w:val="DefaultParagraphFont"/>
    <w:uiPriority w:val="99"/>
    <w:semiHidden/>
    <w:unhideWhenUsed/>
    <w:rsid w:val="00216124"/>
    <w:rPr>
      <w:color w:val="605E5C"/>
      <w:shd w:val="clear" w:color="auto" w:fill="E1DFDD"/>
    </w:rPr>
  </w:style>
  <w:style w:type="character" w:styleId="FollowedHyperlink">
    <w:name w:val="FollowedHyperlink"/>
    <w:basedOn w:val="DefaultParagraphFont"/>
    <w:uiPriority w:val="99"/>
    <w:semiHidden/>
    <w:unhideWhenUsed/>
    <w:rsid w:val="006F137A"/>
    <w:rPr>
      <w:color w:val="800080" w:themeColor="followedHyperlink"/>
      <w:u w:val="single"/>
    </w:rPr>
  </w:style>
  <w:style w:type="character" w:customStyle="1" w:styleId="BodyText11Char">
    <w:name w:val="Body Text 11 Char"/>
    <w:basedOn w:val="DefaultParagraphFont"/>
    <w:link w:val="BodyText11"/>
    <w:uiPriority w:val="2"/>
    <w:locked/>
    <w:rsid w:val="0052710D"/>
    <w:rPr>
      <w:rFonts w:cs="Calibri"/>
      <w:sz w:val="22"/>
    </w:rPr>
  </w:style>
  <w:style w:type="paragraph" w:customStyle="1" w:styleId="BodyText11">
    <w:name w:val="Body Text 11"/>
    <w:basedOn w:val="Normal"/>
    <w:link w:val="BodyText11Char"/>
    <w:uiPriority w:val="2"/>
    <w:qFormat/>
    <w:rsid w:val="0052710D"/>
    <w:pPr>
      <w:spacing w:line="276" w:lineRule="auto"/>
    </w:pPr>
    <w:rPr>
      <w:rFonts w:asciiTheme="minorHAnsi" w:hAnsiTheme="minorHAnsi" w:cs="Calibri"/>
      <w:sz w:val="22"/>
    </w:rPr>
  </w:style>
  <w:style w:type="paragraph" w:styleId="Revision">
    <w:name w:val="Revision"/>
    <w:hidden/>
    <w:uiPriority w:val="99"/>
    <w:semiHidden/>
    <w:rsid w:val="006F713E"/>
    <w:rPr>
      <w:rFonts w:ascii="Arial" w:hAnsi="Arial"/>
      <w:sz w:val="20"/>
    </w:rPr>
  </w:style>
  <w:style w:type="character" w:customStyle="1" w:styleId="CaptionChar">
    <w:name w:val="Caption Char"/>
    <w:aliases w:val="Caption_Figure Char"/>
    <w:link w:val="Caption"/>
    <w:uiPriority w:val="35"/>
    <w:locked/>
    <w:rsid w:val="0092796B"/>
    <w:rPr>
      <w:rFonts w:ascii="Arial" w:hAnsi="Arial"/>
      <w:b/>
      <w:bCs/>
      <w:sz w:val="20"/>
      <w:szCs w:val="18"/>
    </w:rPr>
  </w:style>
  <w:style w:type="paragraph" w:customStyle="1" w:styleId="PCABulletLevel1">
    <w:name w:val="PCA Bullet Level 1"/>
    <w:basedOn w:val="Normal"/>
    <w:uiPriority w:val="12"/>
    <w:qFormat/>
    <w:rsid w:val="0092796B"/>
    <w:pPr>
      <w:numPr>
        <w:numId w:val="45"/>
      </w:numPr>
      <w:spacing w:after="60" w:line="240" w:lineRule="auto"/>
      <w:ind w:left="360"/>
    </w:pPr>
    <w:rPr>
      <w:rFonts w:ascii="Calibri" w:eastAsia="Calibri" w:hAnsi="Calibri"/>
      <w:sz w:val="22"/>
      <w:szCs w:val="22"/>
    </w:rPr>
  </w:style>
  <w:style w:type="paragraph" w:customStyle="1" w:styleId="TableNote">
    <w:name w:val="Table Note"/>
    <w:basedOn w:val="Normal"/>
    <w:qFormat/>
    <w:rsid w:val="009D1607"/>
    <w:rPr>
      <w:rFonts w:eastAsia="Georgia"/>
      <w:sz w:val="18"/>
    </w:rPr>
  </w:style>
  <w:style w:type="table" w:styleId="ListTable4-Accent1">
    <w:name w:val="List Table 4 Accent 1"/>
    <w:basedOn w:val="TableNormal"/>
    <w:uiPriority w:val="49"/>
    <w:rsid w:val="00AE7B75"/>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9D1607"/>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Subtitle">
    <w:name w:val="Subtitle"/>
    <w:basedOn w:val="Normal"/>
    <w:next w:val="Normal"/>
    <w:link w:val="SubtitleChar"/>
    <w:uiPriority w:val="11"/>
    <w:qFormat/>
    <w:rsid w:val="009D1607"/>
    <w:pPr>
      <w:numPr>
        <w:ilvl w:val="1"/>
      </w:numPr>
      <w:spacing w:after="160" w:line="259" w:lineRule="auto"/>
    </w:pPr>
    <w:rPr>
      <w:rFonts w:asciiTheme="minorHAnsi" w:hAnsiTheme="minorHAnsi"/>
      <w:b/>
      <w:color w:val="5A5A5A" w:themeColor="text1" w:themeTint="A5"/>
      <w:spacing w:val="15"/>
      <w:sz w:val="24"/>
      <w:szCs w:val="22"/>
    </w:rPr>
  </w:style>
  <w:style w:type="character" w:customStyle="1" w:styleId="SubtitleChar">
    <w:name w:val="Subtitle Char"/>
    <w:basedOn w:val="DefaultParagraphFont"/>
    <w:link w:val="Subtitle"/>
    <w:uiPriority w:val="11"/>
    <w:rsid w:val="009D1607"/>
    <w:rPr>
      <w:b/>
      <w:color w:val="5A5A5A" w:themeColor="text1" w:themeTint="A5"/>
      <w:spacing w:val="15"/>
      <w:szCs w:val="22"/>
    </w:rPr>
  </w:style>
  <w:style w:type="table" w:styleId="GridTable4-Accent1">
    <w:name w:val="Grid Table 4 Accent 1"/>
    <w:basedOn w:val="TableNormal"/>
    <w:uiPriority w:val="49"/>
    <w:rsid w:val="009D1607"/>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semiHidden/>
    <w:rsid w:val="0000059B"/>
    <w:pPr>
      <w:spacing w:after="0" w:line="240" w:lineRule="auto"/>
    </w:pPr>
    <w:rPr>
      <w:rFonts w:ascii="Times New Roman" w:eastAsia="Times New Roman" w:hAnsi="Times New Roman" w:cs="Tahoma"/>
      <w:iCs/>
      <w:sz w:val="22"/>
      <w:szCs w:val="22"/>
    </w:rPr>
  </w:style>
  <w:style w:type="character" w:customStyle="1" w:styleId="BodyTextChar">
    <w:name w:val="Body Text Char"/>
    <w:basedOn w:val="DefaultParagraphFont"/>
    <w:link w:val="BodyText"/>
    <w:semiHidden/>
    <w:rsid w:val="0000059B"/>
    <w:rPr>
      <w:rFonts w:ascii="Times New Roman" w:eastAsia="Times New Roman" w:hAnsi="Times New Roman" w:cs="Tahoma"/>
      <w:iCs/>
      <w:sz w:val="22"/>
      <w:szCs w:val="22"/>
    </w:rPr>
  </w:style>
  <w:style w:type="character" w:styleId="UnresolvedMention">
    <w:name w:val="Unresolved Mention"/>
    <w:basedOn w:val="DefaultParagraphFont"/>
    <w:uiPriority w:val="99"/>
    <w:semiHidden/>
    <w:unhideWhenUsed/>
    <w:rsid w:val="00EF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5983">
      <w:bodyDiv w:val="1"/>
      <w:marLeft w:val="0"/>
      <w:marRight w:val="0"/>
      <w:marTop w:val="0"/>
      <w:marBottom w:val="0"/>
      <w:divBdr>
        <w:top w:val="none" w:sz="0" w:space="0" w:color="auto"/>
        <w:left w:val="none" w:sz="0" w:space="0" w:color="auto"/>
        <w:bottom w:val="none" w:sz="0" w:space="0" w:color="auto"/>
        <w:right w:val="none" w:sz="0" w:space="0" w:color="auto"/>
      </w:divBdr>
    </w:div>
    <w:div w:id="29690566">
      <w:bodyDiv w:val="1"/>
      <w:marLeft w:val="0"/>
      <w:marRight w:val="0"/>
      <w:marTop w:val="0"/>
      <w:marBottom w:val="0"/>
      <w:divBdr>
        <w:top w:val="none" w:sz="0" w:space="0" w:color="auto"/>
        <w:left w:val="none" w:sz="0" w:space="0" w:color="auto"/>
        <w:bottom w:val="none" w:sz="0" w:space="0" w:color="auto"/>
        <w:right w:val="none" w:sz="0" w:space="0" w:color="auto"/>
      </w:divBdr>
    </w:div>
    <w:div w:id="48267098">
      <w:bodyDiv w:val="1"/>
      <w:marLeft w:val="0"/>
      <w:marRight w:val="0"/>
      <w:marTop w:val="0"/>
      <w:marBottom w:val="0"/>
      <w:divBdr>
        <w:top w:val="none" w:sz="0" w:space="0" w:color="auto"/>
        <w:left w:val="none" w:sz="0" w:space="0" w:color="auto"/>
        <w:bottom w:val="none" w:sz="0" w:space="0" w:color="auto"/>
        <w:right w:val="none" w:sz="0" w:space="0" w:color="auto"/>
      </w:divBdr>
    </w:div>
    <w:div w:id="142046344">
      <w:bodyDiv w:val="1"/>
      <w:marLeft w:val="0"/>
      <w:marRight w:val="0"/>
      <w:marTop w:val="0"/>
      <w:marBottom w:val="0"/>
      <w:divBdr>
        <w:top w:val="none" w:sz="0" w:space="0" w:color="auto"/>
        <w:left w:val="none" w:sz="0" w:space="0" w:color="auto"/>
        <w:bottom w:val="none" w:sz="0" w:space="0" w:color="auto"/>
        <w:right w:val="none" w:sz="0" w:space="0" w:color="auto"/>
      </w:divBdr>
    </w:div>
    <w:div w:id="169221820">
      <w:bodyDiv w:val="1"/>
      <w:marLeft w:val="0"/>
      <w:marRight w:val="0"/>
      <w:marTop w:val="0"/>
      <w:marBottom w:val="0"/>
      <w:divBdr>
        <w:top w:val="none" w:sz="0" w:space="0" w:color="auto"/>
        <w:left w:val="none" w:sz="0" w:space="0" w:color="auto"/>
        <w:bottom w:val="none" w:sz="0" w:space="0" w:color="auto"/>
        <w:right w:val="none" w:sz="0" w:space="0" w:color="auto"/>
      </w:divBdr>
    </w:div>
    <w:div w:id="253440376">
      <w:bodyDiv w:val="1"/>
      <w:marLeft w:val="0"/>
      <w:marRight w:val="0"/>
      <w:marTop w:val="0"/>
      <w:marBottom w:val="0"/>
      <w:divBdr>
        <w:top w:val="none" w:sz="0" w:space="0" w:color="auto"/>
        <w:left w:val="none" w:sz="0" w:space="0" w:color="auto"/>
        <w:bottom w:val="none" w:sz="0" w:space="0" w:color="auto"/>
        <w:right w:val="none" w:sz="0" w:space="0" w:color="auto"/>
      </w:divBdr>
    </w:div>
    <w:div w:id="344551896">
      <w:bodyDiv w:val="1"/>
      <w:marLeft w:val="0"/>
      <w:marRight w:val="0"/>
      <w:marTop w:val="0"/>
      <w:marBottom w:val="0"/>
      <w:divBdr>
        <w:top w:val="none" w:sz="0" w:space="0" w:color="auto"/>
        <w:left w:val="none" w:sz="0" w:space="0" w:color="auto"/>
        <w:bottom w:val="none" w:sz="0" w:space="0" w:color="auto"/>
        <w:right w:val="none" w:sz="0" w:space="0" w:color="auto"/>
      </w:divBdr>
    </w:div>
    <w:div w:id="399786822">
      <w:bodyDiv w:val="1"/>
      <w:marLeft w:val="0"/>
      <w:marRight w:val="0"/>
      <w:marTop w:val="0"/>
      <w:marBottom w:val="0"/>
      <w:divBdr>
        <w:top w:val="none" w:sz="0" w:space="0" w:color="auto"/>
        <w:left w:val="none" w:sz="0" w:space="0" w:color="auto"/>
        <w:bottom w:val="none" w:sz="0" w:space="0" w:color="auto"/>
        <w:right w:val="none" w:sz="0" w:space="0" w:color="auto"/>
      </w:divBdr>
    </w:div>
    <w:div w:id="513149190">
      <w:bodyDiv w:val="1"/>
      <w:marLeft w:val="0"/>
      <w:marRight w:val="0"/>
      <w:marTop w:val="0"/>
      <w:marBottom w:val="0"/>
      <w:divBdr>
        <w:top w:val="none" w:sz="0" w:space="0" w:color="auto"/>
        <w:left w:val="none" w:sz="0" w:space="0" w:color="auto"/>
        <w:bottom w:val="none" w:sz="0" w:space="0" w:color="auto"/>
        <w:right w:val="none" w:sz="0" w:space="0" w:color="auto"/>
      </w:divBdr>
    </w:div>
    <w:div w:id="567496227">
      <w:bodyDiv w:val="1"/>
      <w:marLeft w:val="0"/>
      <w:marRight w:val="0"/>
      <w:marTop w:val="0"/>
      <w:marBottom w:val="0"/>
      <w:divBdr>
        <w:top w:val="none" w:sz="0" w:space="0" w:color="auto"/>
        <w:left w:val="none" w:sz="0" w:space="0" w:color="auto"/>
        <w:bottom w:val="none" w:sz="0" w:space="0" w:color="auto"/>
        <w:right w:val="none" w:sz="0" w:space="0" w:color="auto"/>
      </w:divBdr>
    </w:div>
    <w:div w:id="652638701">
      <w:bodyDiv w:val="1"/>
      <w:marLeft w:val="0"/>
      <w:marRight w:val="0"/>
      <w:marTop w:val="0"/>
      <w:marBottom w:val="0"/>
      <w:divBdr>
        <w:top w:val="none" w:sz="0" w:space="0" w:color="auto"/>
        <w:left w:val="none" w:sz="0" w:space="0" w:color="auto"/>
        <w:bottom w:val="none" w:sz="0" w:space="0" w:color="auto"/>
        <w:right w:val="none" w:sz="0" w:space="0" w:color="auto"/>
      </w:divBdr>
    </w:div>
    <w:div w:id="679504597">
      <w:bodyDiv w:val="1"/>
      <w:marLeft w:val="0"/>
      <w:marRight w:val="0"/>
      <w:marTop w:val="0"/>
      <w:marBottom w:val="0"/>
      <w:divBdr>
        <w:top w:val="none" w:sz="0" w:space="0" w:color="auto"/>
        <w:left w:val="none" w:sz="0" w:space="0" w:color="auto"/>
        <w:bottom w:val="none" w:sz="0" w:space="0" w:color="auto"/>
        <w:right w:val="none" w:sz="0" w:space="0" w:color="auto"/>
      </w:divBdr>
    </w:div>
    <w:div w:id="735862714">
      <w:bodyDiv w:val="1"/>
      <w:marLeft w:val="0"/>
      <w:marRight w:val="0"/>
      <w:marTop w:val="0"/>
      <w:marBottom w:val="0"/>
      <w:divBdr>
        <w:top w:val="none" w:sz="0" w:space="0" w:color="auto"/>
        <w:left w:val="none" w:sz="0" w:space="0" w:color="auto"/>
        <w:bottom w:val="none" w:sz="0" w:space="0" w:color="auto"/>
        <w:right w:val="none" w:sz="0" w:space="0" w:color="auto"/>
      </w:divBdr>
    </w:div>
    <w:div w:id="801848515">
      <w:bodyDiv w:val="1"/>
      <w:marLeft w:val="0"/>
      <w:marRight w:val="0"/>
      <w:marTop w:val="0"/>
      <w:marBottom w:val="0"/>
      <w:divBdr>
        <w:top w:val="none" w:sz="0" w:space="0" w:color="auto"/>
        <w:left w:val="none" w:sz="0" w:space="0" w:color="auto"/>
        <w:bottom w:val="none" w:sz="0" w:space="0" w:color="auto"/>
        <w:right w:val="none" w:sz="0" w:space="0" w:color="auto"/>
      </w:divBdr>
    </w:div>
    <w:div w:id="822358241">
      <w:bodyDiv w:val="1"/>
      <w:marLeft w:val="0"/>
      <w:marRight w:val="0"/>
      <w:marTop w:val="0"/>
      <w:marBottom w:val="0"/>
      <w:divBdr>
        <w:top w:val="none" w:sz="0" w:space="0" w:color="auto"/>
        <w:left w:val="none" w:sz="0" w:space="0" w:color="auto"/>
        <w:bottom w:val="none" w:sz="0" w:space="0" w:color="auto"/>
        <w:right w:val="none" w:sz="0" w:space="0" w:color="auto"/>
      </w:divBdr>
      <w:divsChild>
        <w:div w:id="1314484225">
          <w:marLeft w:val="0"/>
          <w:marRight w:val="0"/>
          <w:marTop w:val="0"/>
          <w:marBottom w:val="0"/>
          <w:divBdr>
            <w:top w:val="none" w:sz="0" w:space="0" w:color="auto"/>
            <w:left w:val="none" w:sz="0" w:space="0" w:color="auto"/>
            <w:bottom w:val="none" w:sz="0" w:space="0" w:color="auto"/>
            <w:right w:val="none" w:sz="0" w:space="0" w:color="auto"/>
          </w:divBdr>
        </w:div>
        <w:div w:id="79252689">
          <w:marLeft w:val="0"/>
          <w:marRight w:val="0"/>
          <w:marTop w:val="0"/>
          <w:marBottom w:val="0"/>
          <w:divBdr>
            <w:top w:val="none" w:sz="0" w:space="0" w:color="auto"/>
            <w:left w:val="none" w:sz="0" w:space="0" w:color="auto"/>
            <w:bottom w:val="none" w:sz="0" w:space="0" w:color="auto"/>
            <w:right w:val="none" w:sz="0" w:space="0" w:color="auto"/>
          </w:divBdr>
        </w:div>
        <w:div w:id="432433714">
          <w:marLeft w:val="0"/>
          <w:marRight w:val="0"/>
          <w:marTop w:val="0"/>
          <w:marBottom w:val="0"/>
          <w:divBdr>
            <w:top w:val="none" w:sz="0" w:space="0" w:color="auto"/>
            <w:left w:val="none" w:sz="0" w:space="0" w:color="auto"/>
            <w:bottom w:val="none" w:sz="0" w:space="0" w:color="auto"/>
            <w:right w:val="none" w:sz="0" w:space="0" w:color="auto"/>
          </w:divBdr>
        </w:div>
      </w:divsChild>
    </w:div>
    <w:div w:id="874197550">
      <w:bodyDiv w:val="1"/>
      <w:marLeft w:val="0"/>
      <w:marRight w:val="0"/>
      <w:marTop w:val="0"/>
      <w:marBottom w:val="0"/>
      <w:divBdr>
        <w:top w:val="none" w:sz="0" w:space="0" w:color="auto"/>
        <w:left w:val="none" w:sz="0" w:space="0" w:color="auto"/>
        <w:bottom w:val="none" w:sz="0" w:space="0" w:color="auto"/>
        <w:right w:val="none" w:sz="0" w:space="0" w:color="auto"/>
      </w:divBdr>
    </w:div>
    <w:div w:id="936132622">
      <w:bodyDiv w:val="1"/>
      <w:marLeft w:val="0"/>
      <w:marRight w:val="0"/>
      <w:marTop w:val="0"/>
      <w:marBottom w:val="0"/>
      <w:divBdr>
        <w:top w:val="none" w:sz="0" w:space="0" w:color="auto"/>
        <w:left w:val="none" w:sz="0" w:space="0" w:color="auto"/>
        <w:bottom w:val="none" w:sz="0" w:space="0" w:color="auto"/>
        <w:right w:val="none" w:sz="0" w:space="0" w:color="auto"/>
      </w:divBdr>
    </w:div>
    <w:div w:id="1012151557">
      <w:bodyDiv w:val="1"/>
      <w:marLeft w:val="0"/>
      <w:marRight w:val="0"/>
      <w:marTop w:val="0"/>
      <w:marBottom w:val="0"/>
      <w:divBdr>
        <w:top w:val="none" w:sz="0" w:space="0" w:color="auto"/>
        <w:left w:val="none" w:sz="0" w:space="0" w:color="auto"/>
        <w:bottom w:val="none" w:sz="0" w:space="0" w:color="auto"/>
        <w:right w:val="none" w:sz="0" w:space="0" w:color="auto"/>
      </w:divBdr>
    </w:div>
    <w:div w:id="1017462458">
      <w:bodyDiv w:val="1"/>
      <w:marLeft w:val="0"/>
      <w:marRight w:val="0"/>
      <w:marTop w:val="0"/>
      <w:marBottom w:val="0"/>
      <w:divBdr>
        <w:top w:val="none" w:sz="0" w:space="0" w:color="auto"/>
        <w:left w:val="none" w:sz="0" w:space="0" w:color="auto"/>
        <w:bottom w:val="none" w:sz="0" w:space="0" w:color="auto"/>
        <w:right w:val="none" w:sz="0" w:space="0" w:color="auto"/>
      </w:divBdr>
    </w:div>
    <w:div w:id="1049765288">
      <w:bodyDiv w:val="1"/>
      <w:marLeft w:val="0"/>
      <w:marRight w:val="0"/>
      <w:marTop w:val="0"/>
      <w:marBottom w:val="0"/>
      <w:divBdr>
        <w:top w:val="none" w:sz="0" w:space="0" w:color="auto"/>
        <w:left w:val="none" w:sz="0" w:space="0" w:color="auto"/>
        <w:bottom w:val="none" w:sz="0" w:space="0" w:color="auto"/>
        <w:right w:val="none" w:sz="0" w:space="0" w:color="auto"/>
      </w:divBdr>
    </w:div>
    <w:div w:id="1200817874">
      <w:bodyDiv w:val="1"/>
      <w:marLeft w:val="0"/>
      <w:marRight w:val="0"/>
      <w:marTop w:val="0"/>
      <w:marBottom w:val="0"/>
      <w:divBdr>
        <w:top w:val="none" w:sz="0" w:space="0" w:color="auto"/>
        <w:left w:val="none" w:sz="0" w:space="0" w:color="auto"/>
        <w:bottom w:val="none" w:sz="0" w:space="0" w:color="auto"/>
        <w:right w:val="none" w:sz="0" w:space="0" w:color="auto"/>
      </w:divBdr>
    </w:div>
    <w:div w:id="1209800717">
      <w:bodyDiv w:val="1"/>
      <w:marLeft w:val="0"/>
      <w:marRight w:val="0"/>
      <w:marTop w:val="0"/>
      <w:marBottom w:val="0"/>
      <w:divBdr>
        <w:top w:val="none" w:sz="0" w:space="0" w:color="auto"/>
        <w:left w:val="none" w:sz="0" w:space="0" w:color="auto"/>
        <w:bottom w:val="none" w:sz="0" w:space="0" w:color="auto"/>
        <w:right w:val="none" w:sz="0" w:space="0" w:color="auto"/>
      </w:divBdr>
    </w:div>
    <w:div w:id="1215001870">
      <w:bodyDiv w:val="1"/>
      <w:marLeft w:val="0"/>
      <w:marRight w:val="0"/>
      <w:marTop w:val="0"/>
      <w:marBottom w:val="0"/>
      <w:divBdr>
        <w:top w:val="none" w:sz="0" w:space="0" w:color="auto"/>
        <w:left w:val="none" w:sz="0" w:space="0" w:color="auto"/>
        <w:bottom w:val="none" w:sz="0" w:space="0" w:color="auto"/>
        <w:right w:val="none" w:sz="0" w:space="0" w:color="auto"/>
      </w:divBdr>
    </w:div>
    <w:div w:id="1226254864">
      <w:bodyDiv w:val="1"/>
      <w:marLeft w:val="0"/>
      <w:marRight w:val="0"/>
      <w:marTop w:val="0"/>
      <w:marBottom w:val="0"/>
      <w:divBdr>
        <w:top w:val="none" w:sz="0" w:space="0" w:color="auto"/>
        <w:left w:val="none" w:sz="0" w:space="0" w:color="auto"/>
        <w:bottom w:val="none" w:sz="0" w:space="0" w:color="auto"/>
        <w:right w:val="none" w:sz="0" w:space="0" w:color="auto"/>
      </w:divBdr>
    </w:div>
    <w:div w:id="1400443601">
      <w:bodyDiv w:val="1"/>
      <w:marLeft w:val="0"/>
      <w:marRight w:val="0"/>
      <w:marTop w:val="0"/>
      <w:marBottom w:val="0"/>
      <w:divBdr>
        <w:top w:val="none" w:sz="0" w:space="0" w:color="auto"/>
        <w:left w:val="none" w:sz="0" w:space="0" w:color="auto"/>
        <w:bottom w:val="none" w:sz="0" w:space="0" w:color="auto"/>
        <w:right w:val="none" w:sz="0" w:space="0" w:color="auto"/>
      </w:divBdr>
    </w:div>
    <w:div w:id="1400983731">
      <w:bodyDiv w:val="1"/>
      <w:marLeft w:val="0"/>
      <w:marRight w:val="0"/>
      <w:marTop w:val="0"/>
      <w:marBottom w:val="2745"/>
      <w:divBdr>
        <w:top w:val="none" w:sz="0" w:space="0" w:color="auto"/>
        <w:left w:val="none" w:sz="0" w:space="0" w:color="auto"/>
        <w:bottom w:val="none" w:sz="0" w:space="0" w:color="auto"/>
        <w:right w:val="none" w:sz="0" w:space="0" w:color="auto"/>
      </w:divBdr>
      <w:divsChild>
        <w:div w:id="97455090">
          <w:marLeft w:val="0"/>
          <w:marRight w:val="0"/>
          <w:marTop w:val="0"/>
          <w:marBottom w:val="0"/>
          <w:divBdr>
            <w:top w:val="none" w:sz="0" w:space="0" w:color="auto"/>
            <w:left w:val="none" w:sz="0" w:space="0" w:color="auto"/>
            <w:bottom w:val="none" w:sz="0" w:space="0" w:color="auto"/>
            <w:right w:val="none" w:sz="0" w:space="0" w:color="auto"/>
          </w:divBdr>
          <w:divsChild>
            <w:div w:id="1123572139">
              <w:marLeft w:val="0"/>
              <w:marRight w:val="0"/>
              <w:marTop w:val="0"/>
              <w:marBottom w:val="0"/>
              <w:divBdr>
                <w:top w:val="none" w:sz="0" w:space="0" w:color="auto"/>
                <w:left w:val="none" w:sz="0" w:space="0" w:color="auto"/>
                <w:bottom w:val="none" w:sz="0" w:space="0" w:color="auto"/>
                <w:right w:val="none" w:sz="0" w:space="0" w:color="auto"/>
              </w:divBdr>
              <w:divsChild>
                <w:div w:id="1854487875">
                  <w:marLeft w:val="-225"/>
                  <w:marRight w:val="-225"/>
                  <w:marTop w:val="0"/>
                  <w:marBottom w:val="0"/>
                  <w:divBdr>
                    <w:top w:val="none" w:sz="0" w:space="0" w:color="auto"/>
                    <w:left w:val="none" w:sz="0" w:space="0" w:color="auto"/>
                    <w:bottom w:val="none" w:sz="0" w:space="0" w:color="auto"/>
                    <w:right w:val="none" w:sz="0" w:space="0" w:color="auto"/>
                  </w:divBdr>
                  <w:divsChild>
                    <w:div w:id="43602402">
                      <w:marLeft w:val="0"/>
                      <w:marRight w:val="0"/>
                      <w:marTop w:val="0"/>
                      <w:marBottom w:val="0"/>
                      <w:divBdr>
                        <w:top w:val="none" w:sz="0" w:space="0" w:color="auto"/>
                        <w:left w:val="none" w:sz="0" w:space="0" w:color="auto"/>
                        <w:bottom w:val="none" w:sz="0" w:space="0" w:color="auto"/>
                        <w:right w:val="none" w:sz="0" w:space="0" w:color="auto"/>
                      </w:divBdr>
                      <w:divsChild>
                        <w:div w:id="1020859353">
                          <w:marLeft w:val="-225"/>
                          <w:marRight w:val="-225"/>
                          <w:marTop w:val="0"/>
                          <w:marBottom w:val="0"/>
                          <w:divBdr>
                            <w:top w:val="none" w:sz="0" w:space="0" w:color="auto"/>
                            <w:left w:val="none" w:sz="0" w:space="0" w:color="auto"/>
                            <w:bottom w:val="none" w:sz="0" w:space="0" w:color="auto"/>
                            <w:right w:val="none" w:sz="0" w:space="0" w:color="auto"/>
                          </w:divBdr>
                          <w:divsChild>
                            <w:div w:id="883179990">
                              <w:marLeft w:val="0"/>
                              <w:marRight w:val="0"/>
                              <w:marTop w:val="0"/>
                              <w:marBottom w:val="0"/>
                              <w:divBdr>
                                <w:top w:val="none" w:sz="0" w:space="0" w:color="auto"/>
                                <w:left w:val="none" w:sz="0" w:space="0" w:color="auto"/>
                                <w:bottom w:val="none" w:sz="0" w:space="0" w:color="auto"/>
                                <w:right w:val="none" w:sz="0" w:space="0" w:color="auto"/>
                              </w:divBdr>
                              <w:divsChild>
                                <w:div w:id="454830918">
                                  <w:marLeft w:val="0"/>
                                  <w:marRight w:val="0"/>
                                  <w:marTop w:val="0"/>
                                  <w:marBottom w:val="0"/>
                                  <w:divBdr>
                                    <w:top w:val="none" w:sz="0" w:space="0" w:color="auto"/>
                                    <w:left w:val="none" w:sz="0" w:space="0" w:color="auto"/>
                                    <w:bottom w:val="none" w:sz="0" w:space="0" w:color="auto"/>
                                    <w:right w:val="none" w:sz="0" w:space="0" w:color="auto"/>
                                  </w:divBdr>
                                  <w:divsChild>
                                    <w:div w:id="294915894">
                                      <w:marLeft w:val="0"/>
                                      <w:marRight w:val="0"/>
                                      <w:marTop w:val="0"/>
                                      <w:marBottom w:val="0"/>
                                      <w:divBdr>
                                        <w:top w:val="none" w:sz="0" w:space="0" w:color="auto"/>
                                        <w:left w:val="none" w:sz="0" w:space="0" w:color="auto"/>
                                        <w:bottom w:val="none" w:sz="0" w:space="0" w:color="auto"/>
                                        <w:right w:val="none" w:sz="0" w:space="0" w:color="auto"/>
                                      </w:divBdr>
                                      <w:divsChild>
                                        <w:div w:id="1325470922">
                                          <w:marLeft w:val="0"/>
                                          <w:marRight w:val="0"/>
                                          <w:marTop w:val="48"/>
                                          <w:marBottom w:val="0"/>
                                          <w:divBdr>
                                            <w:top w:val="none" w:sz="0" w:space="0" w:color="auto"/>
                                            <w:left w:val="none" w:sz="0" w:space="0" w:color="auto"/>
                                            <w:bottom w:val="none" w:sz="0" w:space="0" w:color="auto"/>
                                            <w:right w:val="none" w:sz="0" w:space="0" w:color="auto"/>
                                          </w:divBdr>
                                          <w:divsChild>
                                            <w:div w:id="122148102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723247">
      <w:bodyDiv w:val="1"/>
      <w:marLeft w:val="0"/>
      <w:marRight w:val="0"/>
      <w:marTop w:val="0"/>
      <w:marBottom w:val="0"/>
      <w:divBdr>
        <w:top w:val="none" w:sz="0" w:space="0" w:color="auto"/>
        <w:left w:val="none" w:sz="0" w:space="0" w:color="auto"/>
        <w:bottom w:val="none" w:sz="0" w:space="0" w:color="auto"/>
        <w:right w:val="none" w:sz="0" w:space="0" w:color="auto"/>
      </w:divBdr>
    </w:div>
    <w:div w:id="1412963810">
      <w:bodyDiv w:val="1"/>
      <w:marLeft w:val="0"/>
      <w:marRight w:val="0"/>
      <w:marTop w:val="0"/>
      <w:marBottom w:val="0"/>
      <w:divBdr>
        <w:top w:val="none" w:sz="0" w:space="0" w:color="auto"/>
        <w:left w:val="none" w:sz="0" w:space="0" w:color="auto"/>
        <w:bottom w:val="none" w:sz="0" w:space="0" w:color="auto"/>
        <w:right w:val="none" w:sz="0" w:space="0" w:color="auto"/>
      </w:divBdr>
      <w:divsChild>
        <w:div w:id="762143313">
          <w:marLeft w:val="0"/>
          <w:marRight w:val="0"/>
          <w:marTop w:val="0"/>
          <w:marBottom w:val="0"/>
          <w:divBdr>
            <w:top w:val="none" w:sz="0" w:space="0" w:color="auto"/>
            <w:left w:val="none" w:sz="0" w:space="0" w:color="auto"/>
            <w:bottom w:val="none" w:sz="0" w:space="0" w:color="auto"/>
            <w:right w:val="none" w:sz="0" w:space="0" w:color="auto"/>
          </w:divBdr>
        </w:div>
        <w:div w:id="1631742305">
          <w:marLeft w:val="0"/>
          <w:marRight w:val="0"/>
          <w:marTop w:val="0"/>
          <w:marBottom w:val="0"/>
          <w:divBdr>
            <w:top w:val="none" w:sz="0" w:space="0" w:color="auto"/>
            <w:left w:val="none" w:sz="0" w:space="0" w:color="auto"/>
            <w:bottom w:val="none" w:sz="0" w:space="0" w:color="auto"/>
            <w:right w:val="none" w:sz="0" w:space="0" w:color="auto"/>
          </w:divBdr>
        </w:div>
      </w:divsChild>
    </w:div>
    <w:div w:id="1446002014">
      <w:bodyDiv w:val="1"/>
      <w:marLeft w:val="0"/>
      <w:marRight w:val="0"/>
      <w:marTop w:val="0"/>
      <w:marBottom w:val="0"/>
      <w:divBdr>
        <w:top w:val="none" w:sz="0" w:space="0" w:color="auto"/>
        <w:left w:val="none" w:sz="0" w:space="0" w:color="auto"/>
        <w:bottom w:val="none" w:sz="0" w:space="0" w:color="auto"/>
        <w:right w:val="none" w:sz="0" w:space="0" w:color="auto"/>
      </w:divBdr>
      <w:divsChild>
        <w:div w:id="510989963">
          <w:marLeft w:val="0"/>
          <w:marRight w:val="0"/>
          <w:marTop w:val="0"/>
          <w:marBottom w:val="0"/>
          <w:divBdr>
            <w:top w:val="none" w:sz="0" w:space="0" w:color="auto"/>
            <w:left w:val="none" w:sz="0" w:space="0" w:color="auto"/>
            <w:bottom w:val="none" w:sz="0" w:space="0" w:color="auto"/>
            <w:right w:val="none" w:sz="0" w:space="0" w:color="auto"/>
          </w:divBdr>
        </w:div>
        <w:div w:id="1752388820">
          <w:marLeft w:val="0"/>
          <w:marRight w:val="0"/>
          <w:marTop w:val="0"/>
          <w:marBottom w:val="0"/>
          <w:divBdr>
            <w:top w:val="none" w:sz="0" w:space="0" w:color="auto"/>
            <w:left w:val="none" w:sz="0" w:space="0" w:color="auto"/>
            <w:bottom w:val="none" w:sz="0" w:space="0" w:color="auto"/>
            <w:right w:val="none" w:sz="0" w:space="0" w:color="auto"/>
          </w:divBdr>
        </w:div>
        <w:div w:id="1506478212">
          <w:marLeft w:val="0"/>
          <w:marRight w:val="0"/>
          <w:marTop w:val="0"/>
          <w:marBottom w:val="0"/>
          <w:divBdr>
            <w:top w:val="none" w:sz="0" w:space="0" w:color="auto"/>
            <w:left w:val="none" w:sz="0" w:space="0" w:color="auto"/>
            <w:bottom w:val="none" w:sz="0" w:space="0" w:color="auto"/>
            <w:right w:val="none" w:sz="0" w:space="0" w:color="auto"/>
          </w:divBdr>
        </w:div>
        <w:div w:id="1157721298">
          <w:marLeft w:val="0"/>
          <w:marRight w:val="0"/>
          <w:marTop w:val="0"/>
          <w:marBottom w:val="0"/>
          <w:divBdr>
            <w:top w:val="none" w:sz="0" w:space="0" w:color="auto"/>
            <w:left w:val="none" w:sz="0" w:space="0" w:color="auto"/>
            <w:bottom w:val="none" w:sz="0" w:space="0" w:color="auto"/>
            <w:right w:val="none" w:sz="0" w:space="0" w:color="auto"/>
          </w:divBdr>
        </w:div>
      </w:divsChild>
    </w:div>
    <w:div w:id="1622566705">
      <w:bodyDiv w:val="1"/>
      <w:marLeft w:val="0"/>
      <w:marRight w:val="0"/>
      <w:marTop w:val="0"/>
      <w:marBottom w:val="0"/>
      <w:divBdr>
        <w:top w:val="none" w:sz="0" w:space="0" w:color="auto"/>
        <w:left w:val="none" w:sz="0" w:space="0" w:color="auto"/>
        <w:bottom w:val="none" w:sz="0" w:space="0" w:color="auto"/>
        <w:right w:val="none" w:sz="0" w:space="0" w:color="auto"/>
      </w:divBdr>
    </w:div>
    <w:div w:id="1860195409">
      <w:bodyDiv w:val="1"/>
      <w:marLeft w:val="0"/>
      <w:marRight w:val="0"/>
      <w:marTop w:val="0"/>
      <w:marBottom w:val="0"/>
      <w:divBdr>
        <w:top w:val="none" w:sz="0" w:space="0" w:color="auto"/>
        <w:left w:val="none" w:sz="0" w:space="0" w:color="auto"/>
        <w:bottom w:val="none" w:sz="0" w:space="0" w:color="auto"/>
        <w:right w:val="none" w:sz="0" w:space="0" w:color="auto"/>
      </w:divBdr>
    </w:div>
    <w:div w:id="1874615622">
      <w:bodyDiv w:val="1"/>
      <w:marLeft w:val="0"/>
      <w:marRight w:val="0"/>
      <w:marTop w:val="0"/>
      <w:marBottom w:val="0"/>
      <w:divBdr>
        <w:top w:val="none" w:sz="0" w:space="0" w:color="auto"/>
        <w:left w:val="none" w:sz="0" w:space="0" w:color="auto"/>
        <w:bottom w:val="none" w:sz="0" w:space="0" w:color="auto"/>
        <w:right w:val="none" w:sz="0" w:space="0" w:color="auto"/>
      </w:divBdr>
    </w:div>
    <w:div w:id="1923906003">
      <w:bodyDiv w:val="1"/>
      <w:marLeft w:val="0"/>
      <w:marRight w:val="0"/>
      <w:marTop w:val="0"/>
      <w:marBottom w:val="0"/>
      <w:divBdr>
        <w:top w:val="none" w:sz="0" w:space="0" w:color="auto"/>
        <w:left w:val="none" w:sz="0" w:space="0" w:color="auto"/>
        <w:bottom w:val="none" w:sz="0" w:space="0" w:color="auto"/>
        <w:right w:val="none" w:sz="0" w:space="0" w:color="auto"/>
      </w:divBdr>
    </w:div>
    <w:div w:id="2127503839">
      <w:bodyDiv w:val="1"/>
      <w:marLeft w:val="0"/>
      <w:marRight w:val="0"/>
      <w:marTop w:val="0"/>
      <w:marBottom w:val="0"/>
      <w:divBdr>
        <w:top w:val="none" w:sz="0" w:space="0" w:color="auto"/>
        <w:left w:val="none" w:sz="0" w:space="0" w:color="auto"/>
        <w:bottom w:val="none" w:sz="0" w:space="0" w:color="auto"/>
        <w:right w:val="none" w:sz="0" w:space="0" w:color="auto"/>
      </w:divBdr>
      <w:divsChild>
        <w:div w:id="473841065">
          <w:marLeft w:val="0"/>
          <w:marRight w:val="0"/>
          <w:marTop w:val="0"/>
          <w:marBottom w:val="0"/>
          <w:divBdr>
            <w:top w:val="none" w:sz="0" w:space="0" w:color="auto"/>
            <w:left w:val="none" w:sz="0" w:space="0" w:color="auto"/>
            <w:bottom w:val="none" w:sz="0" w:space="0" w:color="auto"/>
            <w:right w:val="none" w:sz="0" w:space="0" w:color="auto"/>
          </w:divBdr>
        </w:div>
        <w:div w:id="533277019">
          <w:marLeft w:val="0"/>
          <w:marRight w:val="0"/>
          <w:marTop w:val="0"/>
          <w:marBottom w:val="0"/>
          <w:divBdr>
            <w:top w:val="none" w:sz="0" w:space="0" w:color="auto"/>
            <w:left w:val="none" w:sz="0" w:space="0" w:color="auto"/>
            <w:bottom w:val="none" w:sz="0" w:space="0" w:color="auto"/>
            <w:right w:val="none" w:sz="0" w:space="0" w:color="auto"/>
          </w:divBdr>
        </w:div>
        <w:div w:id="425228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mass.gov/doc/massachusetts-stormwater-handbook-vol-3-ch-1-documenting-compliance/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hesapeakebay.net/what/publications/street_sweeping_and_storm_drain_cleaning_expert_panel_report"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mass.gov/guides/massachusetts-stormwater-handbook-and-stormwater-standar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guides/massachusetts-stormwater-handbook-and-stormwater-standards" TargetMode="External"/><Relationship Id="rId20" Type="http://schemas.openxmlformats.org/officeDocument/2006/relationships/hyperlink" Target="https://deq.nc.gov/about/divisions/water-resources/planning/nonpoint-source-management/nutrient-scientific-advisory-board/meeting-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mass.gov/guides/massachusetts-stormwater-handbook-and-stormwater-standard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files.nc.gov/ncdeq/Water%20Quality/Planning/NPU/Nutrient%20Scientific%20Advisory%20Board/2018.09.25-Combined-Street-and-Storm-Drain-Cleaning-FINAL.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seattle.gov/util/cs/groups/public/@spu/@drainsew/documents/webcontent/1_06335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9DC55C76DD994587C98F60B953FE81" ma:contentTypeVersion="0" ma:contentTypeDescription="Create a new document." ma:contentTypeScope="" ma:versionID="f59d115bf38d159fd4b8b42550e52cfc">
  <xsd:schema xmlns:xsd="http://www.w3.org/2001/XMLSchema" xmlns:xs="http://www.w3.org/2001/XMLSchema" xmlns:p="http://schemas.microsoft.com/office/2006/metadata/properties" xmlns:ns2="9cf81d45-a9ea-4144-b627-fe3d25dc540a" targetNamespace="http://schemas.microsoft.com/office/2006/metadata/properties" ma:root="true" ma:fieldsID="53503d9ae57f0eb6e7b0438b3a8fcaa2" ns2:_="">
    <xsd:import namespace="9cf81d45-a9ea-4144-b627-fe3d25dc540a"/>
    <xsd:element name="properties">
      <xsd:complexType>
        <xsd:sequence>
          <xsd:element name="documentManagement">
            <xsd:complexType>
              <xsd:all>
                <xsd:element ref="ns2:ProjectNumber" minOccurs="0"/>
                <xsd:element ref="ns2:ClientNumber" minOccurs="0"/>
                <xsd:element ref="ns2:Initia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81d45-a9ea-4144-b627-fe3d25dc540a" elementFormDefault="qualified">
    <xsd:import namespace="http://schemas.microsoft.com/office/2006/documentManagement/types"/>
    <xsd:import namespace="http://schemas.microsoft.com/office/infopath/2007/PartnerControls"/>
    <xsd:element name="ProjectNumber" ma:index="8" nillable="true" ma:displayName="ProjectNumber" ma:internalName="ProjectNumber">
      <xsd:simpleType>
        <xsd:restriction base="dms:Text">
          <xsd:maxLength value="255"/>
        </xsd:restriction>
      </xsd:simpleType>
    </xsd:element>
    <xsd:element name="ClientNumber" ma:index="9" nillable="true" ma:displayName="ClientNumber" ma:internalName="ClientNumber">
      <xsd:simpleType>
        <xsd:restriction base="dms:Text">
          <xsd:maxLength value="255"/>
        </xsd:restriction>
      </xsd:simpleType>
    </xsd:element>
    <xsd:element name="Initiative" ma:index="10" nillable="true" ma:displayName="Initiative" ma:internalName="Initiativ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Number xmlns="9cf81d45-a9ea-4144-b627-fe3d25dc540a" xsi:nil="true"/>
    <Initiative xmlns="9cf81d45-a9ea-4144-b627-fe3d25dc540a" xsi:nil="true"/>
    <ClientNumber xmlns="9cf81d45-a9ea-4144-b627-fe3d25dc540a" xsi:nil="true"/>
  </documentManagement>
</p:properties>
</file>

<file path=customXml/item4.xml><?xml version="1.0" encoding="utf-8"?>
<?mso-contentType ?>
<SharedContentType xmlns="Microsoft.SharePoint.Taxonomy.ContentTypeSync" SourceId="255123cf-5600-44fe-bd0b-5525a29327fe" ContentTypeId="0x0101" PreviousValue="false"/>
</file>

<file path=customXml/item5.xml><?xml version="1.0" encoding="utf-8"?>
<b:Sources xmlns:b="http://schemas.openxmlformats.org/officeDocument/2006/bibliography" xmlns="http://schemas.openxmlformats.org/officeDocument/2006/bibliography" SelectedStyle="\APA.XSL" StyleName="APA">
  <b:Source>
    <b:Tag>AutYY</b:Tag>
    <b:SourceType>Book</b:SourceType>
    <b:Guid>{75EF971F-68EE-4E29-9C6D-BBB53F1CC34E}</b:Guid>
    <b:Author>
      <b:Author>
        <b:NameList>
          <b:Person>
            <b:Last>Author</b:Last>
          </b:Person>
        </b:NameList>
      </b:Author>
      <b:Editor>
        <b:NameList>
          <b:Person>
            <b:Last>Editor</b:Last>
          </b:Person>
        </b:NameList>
      </b:Editor>
    </b:Author>
    <b:Title>Title</b:Title>
    <b:Year>YYYY</b:Year>
    <b:City>City</b:City>
    <b:Publisher>Publisher</b:Publisher>
    <b:Volume>Volume</b:Volume>
    <b:RefOrder>1</b:RefOrder>
  </b:Source>
</b:Sources>
</file>

<file path=customXml/itemProps1.xml><?xml version="1.0" encoding="utf-8"?>
<ds:datastoreItem xmlns:ds="http://schemas.openxmlformats.org/officeDocument/2006/customXml" ds:itemID="{8C36E45A-62FF-4181-ACB1-D9ED520FB77B}">
  <ds:schemaRefs>
    <ds:schemaRef ds:uri="http://schemas.microsoft.com/sharepoint/v3/contenttype/forms"/>
  </ds:schemaRefs>
</ds:datastoreItem>
</file>

<file path=customXml/itemProps2.xml><?xml version="1.0" encoding="utf-8"?>
<ds:datastoreItem xmlns:ds="http://schemas.openxmlformats.org/officeDocument/2006/customXml" ds:itemID="{5E60DFCB-4ED2-4F8D-A998-9710C85C4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81d45-a9ea-4144-b627-fe3d25dc5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947D8-2B48-4F94-BA20-4BBB76803BB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cf81d45-a9ea-4144-b627-fe3d25dc540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B03CD80-0EE5-4B15-BFE2-F43DBEB777DB}">
  <ds:schemaRefs>
    <ds:schemaRef ds:uri="Microsoft.SharePoint.Taxonomy.ContentTypeSync"/>
  </ds:schemaRefs>
</ds:datastoreItem>
</file>

<file path=customXml/itemProps5.xml><?xml version="1.0" encoding="utf-8"?>
<ds:datastoreItem xmlns:ds="http://schemas.openxmlformats.org/officeDocument/2006/customXml" ds:itemID="{1907CEA5-0418-41AC-9733-A9A5CB45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7372</Words>
  <Characters>42026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49300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 Ly</dc:creator>
  <cp:lastModifiedBy>Olson, Jennifer</cp:lastModifiedBy>
  <cp:revision>2</cp:revision>
  <cp:lastPrinted>2019-05-02T17:55:00Z</cp:lastPrinted>
  <dcterms:created xsi:type="dcterms:W3CDTF">2019-05-21T20:53:00Z</dcterms:created>
  <dcterms:modified xsi:type="dcterms:W3CDTF">2019-05-21T20:53:00Z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0x0101004A9DC55C76DD994587C98F60B953FE81</vt:lpwstr>
  </property>
</Properties>
</file>