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8D1E" w14:textId="77777777" w:rsidR="00FB78E0" w:rsidRPr="00FB78E0" w:rsidRDefault="00FB78E0" w:rsidP="003B4713">
      <w:pPr>
        <w:spacing w:after="0"/>
        <w:rPr>
          <w:rFonts w:ascii="Arial" w:hAnsi="Arial" w:cs="Arial"/>
        </w:rPr>
      </w:pPr>
      <w:r w:rsidRPr="00FB78E0">
        <w:rPr>
          <w:rFonts w:ascii="Arial" w:hAnsi="Arial" w:cs="Arial"/>
          <w:b/>
          <w:bCs/>
          <w:sz w:val="24"/>
          <w:szCs w:val="24"/>
        </w:rPr>
        <w:t>Phosphorus credits for bioretention systems with an underdrain</w:t>
      </w:r>
      <w:r w:rsidRPr="00FB78E0">
        <w:rPr>
          <w:rFonts w:ascii="Arial" w:hAnsi="Arial" w:cs="Arial"/>
        </w:rPr>
        <w:t xml:space="preserve">. </w:t>
      </w:r>
    </w:p>
    <w:p w14:paraId="3C038976" w14:textId="2D6C1D58" w:rsidR="00FB78E0" w:rsidRPr="00FB78E0" w:rsidRDefault="00FB78E0" w:rsidP="00FB78E0">
      <w:pPr>
        <w:spacing w:after="120"/>
        <w:rPr>
          <w:rFonts w:ascii="Arial" w:hAnsi="Arial" w:cs="Arial"/>
        </w:rPr>
      </w:pPr>
      <w:r w:rsidRPr="00FB78E0">
        <w:rPr>
          <w:rFonts w:ascii="Arial" w:hAnsi="Arial" w:cs="Arial"/>
        </w:rPr>
        <w:t>This includes tree trenches and dry swales.</w:t>
      </w:r>
    </w:p>
    <w:tbl>
      <w:tblPr>
        <w:tblW w:w="13503"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6123"/>
        <w:gridCol w:w="7380"/>
      </w:tblGrid>
      <w:tr w:rsidR="00FB78E0" w:rsidRPr="00FB78E0" w14:paraId="52703A6A" w14:textId="77777777" w:rsidTr="003B4713">
        <w:trPr>
          <w:trHeight w:val="425"/>
          <w:tblHeader/>
        </w:trPr>
        <w:tc>
          <w:tcPr>
            <w:tcW w:w="6123" w:type="dxa"/>
            <w:tcBorders>
              <w:top w:val="single" w:sz="4" w:space="0" w:color="auto"/>
              <w:left w:val="single" w:sz="4" w:space="0" w:color="auto"/>
              <w:bottom w:val="single" w:sz="4" w:space="0" w:color="auto"/>
              <w:right w:val="single" w:sz="6" w:space="0" w:color="A4BCC2"/>
            </w:tcBorders>
            <w:shd w:val="clear" w:color="auto" w:fill="003865"/>
            <w:vAlign w:val="bottom"/>
            <w:hideMark/>
          </w:tcPr>
          <w:p w14:paraId="1A68F19B" w14:textId="77777777" w:rsidR="00FB78E0" w:rsidRPr="00FB78E0" w:rsidRDefault="00FB78E0" w:rsidP="003B4713">
            <w:pPr>
              <w:spacing w:after="0"/>
              <w:ind w:left="165"/>
              <w:rPr>
                <w:rFonts w:ascii="Arial" w:hAnsi="Arial" w:cs="Arial"/>
                <w:b/>
                <w:bCs/>
                <w:sz w:val="21"/>
                <w:szCs w:val="21"/>
              </w:rPr>
            </w:pPr>
            <w:r w:rsidRPr="00FB78E0">
              <w:rPr>
                <w:rFonts w:ascii="Arial" w:hAnsi="Arial" w:cs="Arial"/>
                <w:b/>
                <w:bCs/>
                <w:sz w:val="21"/>
                <w:szCs w:val="21"/>
              </w:rPr>
              <w:t>Particulate phosphorus (PP)</w:t>
            </w:r>
          </w:p>
        </w:tc>
        <w:tc>
          <w:tcPr>
            <w:tcW w:w="7380" w:type="dxa"/>
            <w:tcBorders>
              <w:top w:val="single" w:sz="4" w:space="0" w:color="auto"/>
              <w:left w:val="single" w:sz="6" w:space="0" w:color="A4BCC2"/>
              <w:bottom w:val="single" w:sz="4" w:space="0" w:color="auto"/>
              <w:right w:val="single" w:sz="4" w:space="0" w:color="auto"/>
            </w:tcBorders>
            <w:shd w:val="clear" w:color="auto" w:fill="003865"/>
            <w:vAlign w:val="bottom"/>
            <w:hideMark/>
          </w:tcPr>
          <w:p w14:paraId="47097F94" w14:textId="77777777" w:rsidR="00FB78E0" w:rsidRPr="00FB78E0" w:rsidRDefault="00FB78E0" w:rsidP="003B4713">
            <w:pPr>
              <w:spacing w:after="0"/>
              <w:ind w:left="166"/>
              <w:rPr>
                <w:rFonts w:ascii="Arial" w:hAnsi="Arial" w:cs="Arial"/>
                <w:b/>
                <w:bCs/>
                <w:sz w:val="21"/>
                <w:szCs w:val="21"/>
              </w:rPr>
            </w:pPr>
            <w:r w:rsidRPr="00FB78E0">
              <w:rPr>
                <w:rFonts w:ascii="Arial" w:hAnsi="Arial" w:cs="Arial"/>
                <w:b/>
                <w:bCs/>
                <w:sz w:val="21"/>
                <w:szCs w:val="21"/>
              </w:rPr>
              <w:t>Dissolved phosphorus (DP)</w:t>
            </w:r>
          </w:p>
        </w:tc>
      </w:tr>
      <w:tr w:rsidR="00FB78E0" w:rsidRPr="00FB78E0" w14:paraId="16059DED" w14:textId="77777777" w:rsidTr="003B4713">
        <w:trPr>
          <w:trHeight w:val="6421"/>
        </w:trPr>
        <w:tc>
          <w:tcPr>
            <w:tcW w:w="6123" w:type="dxa"/>
            <w:tcBorders>
              <w:top w:val="single" w:sz="4" w:space="0" w:color="auto"/>
              <w:left w:val="single" w:sz="4" w:space="0" w:color="auto"/>
              <w:bottom w:val="single" w:sz="4" w:space="0" w:color="auto"/>
              <w:right w:val="single" w:sz="4" w:space="0" w:color="auto"/>
            </w:tcBorders>
            <w:shd w:val="clear" w:color="auto" w:fill="FFFFFF"/>
            <w:tcMar>
              <w:top w:w="58" w:type="dxa"/>
            </w:tcMar>
            <w:hideMark/>
          </w:tcPr>
          <w:p w14:paraId="367DD2B2" w14:textId="77777777" w:rsidR="00FB78E0" w:rsidRPr="00FB78E0" w:rsidRDefault="00FB78E0" w:rsidP="003B4713">
            <w:pPr>
              <w:spacing w:after="120"/>
              <w:ind w:left="165" w:right="165"/>
              <w:rPr>
                <w:rFonts w:ascii="Arial" w:hAnsi="Arial" w:cs="Arial"/>
                <w:sz w:val="19"/>
                <w:szCs w:val="19"/>
              </w:rPr>
            </w:pPr>
            <w:r w:rsidRPr="00FB78E0">
              <w:rPr>
                <w:rFonts w:ascii="Arial" w:hAnsi="Arial" w:cs="Arial"/>
                <w:sz w:val="19"/>
                <w:szCs w:val="19"/>
              </w:rPr>
              <w:t>Is Media Mix C or D being used or, if using a mix other than C or D, is the media phosphorus content 30 mg/kg or less per the Mehlich 3 (or equivalent) test1?</w:t>
            </w:r>
          </w:p>
          <w:p w14:paraId="1408B682" w14:textId="77777777" w:rsidR="00FB78E0" w:rsidRPr="00FB78E0" w:rsidRDefault="00FB78E0" w:rsidP="003B4713">
            <w:pPr>
              <w:spacing w:after="120"/>
              <w:ind w:left="165" w:right="165"/>
              <w:rPr>
                <w:rFonts w:ascii="Arial" w:hAnsi="Arial" w:cs="Arial"/>
                <w:sz w:val="19"/>
                <w:szCs w:val="19"/>
              </w:rPr>
            </w:pPr>
            <w:r w:rsidRPr="00FB78E0">
              <w:rPr>
                <w:rFonts w:ascii="Arial" w:hAnsi="Arial" w:cs="Arial"/>
                <w:sz w:val="19"/>
                <w:szCs w:val="19"/>
              </w:rPr>
              <w:t>If yes, particulate credit = 100% of the particulate fraction (assumed to be 55% of total P)</w:t>
            </w:r>
          </w:p>
          <w:p w14:paraId="2D4E436A" w14:textId="77777777" w:rsidR="00FB78E0" w:rsidRPr="00FB78E0" w:rsidRDefault="00FB78E0" w:rsidP="003B4713">
            <w:pPr>
              <w:spacing w:after="120"/>
              <w:ind w:left="165" w:right="165"/>
              <w:rPr>
                <w:rFonts w:ascii="Arial" w:hAnsi="Arial" w:cs="Arial"/>
                <w:sz w:val="19"/>
                <w:szCs w:val="19"/>
              </w:rPr>
            </w:pPr>
            <w:r w:rsidRPr="00FB78E0">
              <w:rPr>
                <w:rFonts w:ascii="Arial" w:hAnsi="Arial" w:cs="Arial"/>
                <w:sz w:val="19"/>
                <w:szCs w:val="19"/>
              </w:rPr>
              <w:t>If no or unknown, particulate credit = 0%</w:t>
            </w:r>
          </w:p>
          <w:p w14:paraId="2E7CF71A" w14:textId="77777777" w:rsidR="00FB78E0" w:rsidRPr="00FB78E0" w:rsidRDefault="00FB78E0" w:rsidP="003B4713">
            <w:pPr>
              <w:spacing w:after="120"/>
              <w:ind w:left="165" w:right="165"/>
              <w:rPr>
                <w:rFonts w:ascii="Arial" w:hAnsi="Arial" w:cs="Arial"/>
                <w:sz w:val="19"/>
                <w:szCs w:val="19"/>
              </w:rPr>
            </w:pPr>
            <w:r w:rsidRPr="00FB78E0">
              <w:rPr>
                <w:rFonts w:ascii="Arial" w:hAnsi="Arial" w:cs="Arial"/>
                <w:sz w:val="19"/>
                <w:szCs w:val="19"/>
              </w:rPr>
              <w:t>The assumption of 55 percent particulate phosphorus and 45 percent dissolved phosphorus is likely inaccurate for certain land uses, such as industrial, transportation, and some commercial areas. Studies indicate particulate phosphorus comprises a greater percent of total phosphorus in these land uses. It may therefore be appropriate to modify the above equation with locally derived ratios for particulate and dissolved phosphorus. For more information on fractionation of phosphorus in stormwater runoff,</w:t>
            </w:r>
            <w:hyperlink r:id="rId5" w:anchor="Ratios_of_particulate_to_dissolved_phosphorus" w:history="1">
              <w:r w:rsidRPr="00FB78E0">
                <w:rPr>
                  <w:rStyle w:val="Hyperlink"/>
                  <w:rFonts w:ascii="Arial" w:hAnsi="Arial" w:cs="Arial"/>
                  <w:sz w:val="19"/>
                  <w:szCs w:val="19"/>
                </w:rPr>
                <w:t> link here</w:t>
              </w:r>
            </w:hyperlink>
            <w:r w:rsidRPr="00FB78E0">
              <w:rPr>
                <w:rFonts w:ascii="Arial" w:hAnsi="Arial" w:cs="Arial"/>
                <w:sz w:val="19"/>
                <w:szCs w:val="19"/>
              </w:rPr>
              <w:t>.</w:t>
            </w:r>
          </w:p>
          <w:p w14:paraId="0B205FC3" w14:textId="77777777" w:rsidR="00FB78E0" w:rsidRPr="00FB78E0" w:rsidRDefault="00FB78E0" w:rsidP="003B4713">
            <w:pPr>
              <w:spacing w:after="120"/>
              <w:ind w:left="165" w:right="165"/>
              <w:rPr>
                <w:rFonts w:ascii="Arial" w:hAnsi="Arial" w:cs="Arial"/>
                <w:b/>
                <w:bCs/>
                <w:sz w:val="19"/>
                <w:szCs w:val="19"/>
              </w:rPr>
            </w:pPr>
            <w:r w:rsidRPr="00FB78E0">
              <w:rPr>
                <w:rFonts w:ascii="Arial" w:hAnsi="Arial" w:cs="Arial"/>
                <w:b/>
                <w:bCs/>
                <w:sz w:val="19"/>
                <w:szCs w:val="19"/>
              </w:rPr>
              <w:t>Example PP removal credit</w:t>
            </w:r>
          </w:p>
          <w:p w14:paraId="740681F8" w14:textId="77777777" w:rsidR="00FB78E0" w:rsidRPr="00FB78E0" w:rsidRDefault="00FB78E0" w:rsidP="003B4713">
            <w:pPr>
              <w:numPr>
                <w:ilvl w:val="0"/>
                <w:numId w:val="5"/>
              </w:numPr>
              <w:spacing w:after="120"/>
              <w:ind w:right="165"/>
              <w:rPr>
                <w:rFonts w:ascii="Arial" w:hAnsi="Arial" w:cs="Arial"/>
                <w:sz w:val="19"/>
                <w:szCs w:val="19"/>
              </w:rPr>
            </w:pPr>
            <w:r w:rsidRPr="00FB78E0">
              <w:rPr>
                <w:rFonts w:ascii="Arial" w:hAnsi="Arial" w:cs="Arial"/>
                <w:sz w:val="19"/>
                <w:szCs w:val="19"/>
              </w:rPr>
              <w:t>Particulate fraction (55% of TP) * removal rate for that fraction (80% for bioretention and tree trench and 68% for swale main channel) = 0.55 * 0.80 = 0.44 or 44% for bioretention and tree trench (with underdrain) and 0.55 * 0.68 or 36% for swale main channel (with underdrain)</w:t>
            </w:r>
          </w:p>
          <w:p w14:paraId="38B507E5" w14:textId="77777777" w:rsidR="00FB78E0" w:rsidRPr="00FB78E0" w:rsidRDefault="00FB78E0" w:rsidP="003B4713">
            <w:pPr>
              <w:numPr>
                <w:ilvl w:val="0"/>
                <w:numId w:val="5"/>
              </w:numPr>
              <w:spacing w:after="120"/>
              <w:ind w:right="165"/>
              <w:rPr>
                <w:rFonts w:ascii="Arial" w:hAnsi="Arial" w:cs="Arial"/>
                <w:sz w:val="19"/>
                <w:szCs w:val="19"/>
              </w:rPr>
            </w:pPr>
            <w:r w:rsidRPr="00FB78E0">
              <w:rPr>
                <w:rFonts w:ascii="Arial" w:hAnsi="Arial" w:cs="Arial"/>
                <w:sz w:val="19"/>
                <w:szCs w:val="19"/>
              </w:rPr>
              <w:t>If particulate is 75% of TP, removal = 0.75 * 0.80 or 60% for bioretention and tree trench (with underdrain) and 0.75 * 0.68 or 51% for dry swale</w:t>
            </w:r>
          </w:p>
        </w:tc>
        <w:tc>
          <w:tcPr>
            <w:tcW w:w="7380" w:type="dxa"/>
            <w:tcBorders>
              <w:top w:val="single" w:sz="4" w:space="0" w:color="auto"/>
              <w:left w:val="single" w:sz="4" w:space="0" w:color="auto"/>
              <w:bottom w:val="single" w:sz="4" w:space="0" w:color="auto"/>
              <w:right w:val="single" w:sz="4" w:space="0" w:color="auto"/>
            </w:tcBorders>
            <w:shd w:val="clear" w:color="auto" w:fill="FFFFFF"/>
            <w:tcMar>
              <w:top w:w="58" w:type="dxa"/>
            </w:tcMar>
            <w:hideMark/>
          </w:tcPr>
          <w:p w14:paraId="13FCBF53" w14:textId="77777777" w:rsidR="00FB78E0" w:rsidRPr="00FB78E0" w:rsidRDefault="00FB78E0" w:rsidP="003B4713">
            <w:pPr>
              <w:numPr>
                <w:ilvl w:val="0"/>
                <w:numId w:val="2"/>
              </w:numPr>
              <w:tabs>
                <w:tab w:val="clear" w:pos="720"/>
                <w:tab w:val="num" w:pos="571"/>
              </w:tabs>
              <w:spacing w:after="80"/>
              <w:ind w:left="481" w:right="72" w:hanging="270"/>
              <w:rPr>
                <w:rFonts w:ascii="Arial" w:hAnsi="Arial" w:cs="Arial"/>
                <w:sz w:val="19"/>
                <w:szCs w:val="19"/>
              </w:rPr>
            </w:pPr>
            <w:r w:rsidRPr="00FB78E0">
              <w:rPr>
                <w:rFonts w:ascii="Arial" w:hAnsi="Arial" w:cs="Arial"/>
                <w:sz w:val="19"/>
                <w:szCs w:val="19"/>
              </w:rPr>
              <w:t>Is Media Mix C or D being used or, if using a mix other than C or D, is the media phosphorus content 30 mg/kg or less per the Mehlich 3 (or </w:t>
            </w:r>
            <w:hyperlink r:id="rId6" w:anchor="Notes_about_soil_phosphorus_testing:_applicability_and_interpretation" w:history="1">
              <w:r w:rsidRPr="00FB78E0">
                <w:rPr>
                  <w:rStyle w:val="Hyperlink"/>
                  <w:rFonts w:ascii="Arial" w:hAnsi="Arial" w:cs="Arial"/>
                  <w:sz w:val="19"/>
                  <w:szCs w:val="19"/>
                </w:rPr>
                <w:t>equiva</w:t>
              </w:r>
              <w:r w:rsidRPr="00FB78E0">
                <w:rPr>
                  <w:rStyle w:val="Hyperlink"/>
                  <w:rFonts w:ascii="Arial" w:hAnsi="Arial" w:cs="Arial"/>
                  <w:sz w:val="19"/>
                  <w:szCs w:val="19"/>
                </w:rPr>
                <w:t>lent</w:t>
              </w:r>
            </w:hyperlink>
            <w:r w:rsidRPr="00FB78E0">
              <w:rPr>
                <w:rFonts w:ascii="Arial" w:hAnsi="Arial" w:cs="Arial"/>
                <w:sz w:val="19"/>
                <w:szCs w:val="19"/>
              </w:rPr>
              <w:t>) test</w:t>
            </w:r>
            <w:r w:rsidRPr="00FB78E0">
              <w:rPr>
                <w:rFonts w:ascii="Arial" w:hAnsi="Arial" w:cs="Arial"/>
                <w:sz w:val="19"/>
                <w:szCs w:val="19"/>
                <w:vertAlign w:val="superscript"/>
              </w:rPr>
              <w:t>1</w:t>
            </w:r>
            <w:r w:rsidRPr="00FB78E0">
              <w:rPr>
                <w:rFonts w:ascii="Arial" w:hAnsi="Arial" w:cs="Arial"/>
                <w:sz w:val="19"/>
                <w:szCs w:val="19"/>
              </w:rPr>
              <w:t>?</w:t>
            </w:r>
          </w:p>
          <w:p w14:paraId="6244928A" w14:textId="77777777" w:rsidR="00FB78E0" w:rsidRPr="00FB78E0" w:rsidRDefault="00FB78E0" w:rsidP="003B4713">
            <w:pPr>
              <w:numPr>
                <w:ilvl w:val="1"/>
                <w:numId w:val="2"/>
              </w:numPr>
              <w:tabs>
                <w:tab w:val="clear" w:pos="1440"/>
                <w:tab w:val="num" w:pos="1201"/>
              </w:tabs>
              <w:spacing w:after="80" w:line="252" w:lineRule="auto"/>
              <w:ind w:left="1111" w:right="72"/>
              <w:rPr>
                <w:rFonts w:ascii="Arial" w:hAnsi="Arial" w:cs="Arial"/>
                <w:sz w:val="19"/>
                <w:szCs w:val="19"/>
              </w:rPr>
            </w:pPr>
            <w:r w:rsidRPr="00FB78E0">
              <w:rPr>
                <w:rFonts w:ascii="Arial" w:hAnsi="Arial" w:cs="Arial"/>
                <w:sz w:val="19"/>
                <w:szCs w:val="19"/>
              </w:rPr>
              <w:t>If yes, credit as a % (up to a maximum of 20%) = 20 * (depth of media above underdrain, in feet/2)</w:t>
            </w:r>
          </w:p>
          <w:p w14:paraId="7BB6AB98" w14:textId="77777777" w:rsidR="00FB78E0" w:rsidRPr="00FB78E0" w:rsidRDefault="00FB78E0" w:rsidP="003B4713">
            <w:pPr>
              <w:numPr>
                <w:ilvl w:val="1"/>
                <w:numId w:val="2"/>
              </w:numPr>
              <w:tabs>
                <w:tab w:val="clear" w:pos="1440"/>
                <w:tab w:val="num" w:pos="1201"/>
              </w:tabs>
              <w:spacing w:after="80" w:line="252" w:lineRule="auto"/>
              <w:ind w:left="1111" w:right="72"/>
              <w:rPr>
                <w:rFonts w:ascii="Arial" w:hAnsi="Arial" w:cs="Arial"/>
                <w:sz w:val="19"/>
                <w:szCs w:val="19"/>
              </w:rPr>
            </w:pPr>
            <w:r w:rsidRPr="00FB78E0">
              <w:rPr>
                <w:rFonts w:ascii="Arial" w:hAnsi="Arial" w:cs="Arial"/>
                <w:sz w:val="19"/>
                <w:szCs w:val="19"/>
              </w:rPr>
              <w:t>If no or unknown, credit = 0%</w:t>
            </w:r>
          </w:p>
          <w:p w14:paraId="29E1E2E7" w14:textId="77777777" w:rsidR="00FB78E0" w:rsidRPr="00FB78E0" w:rsidRDefault="00FB78E0" w:rsidP="003B4713">
            <w:pPr>
              <w:numPr>
                <w:ilvl w:val="0"/>
                <w:numId w:val="2"/>
              </w:numPr>
              <w:tabs>
                <w:tab w:val="clear" w:pos="720"/>
                <w:tab w:val="num" w:pos="571"/>
              </w:tabs>
              <w:spacing w:after="80"/>
              <w:ind w:left="481" w:right="72" w:hanging="270"/>
              <w:rPr>
                <w:rFonts w:ascii="Arial" w:hAnsi="Arial" w:cs="Arial"/>
                <w:sz w:val="19"/>
                <w:szCs w:val="19"/>
              </w:rPr>
            </w:pPr>
            <w:r w:rsidRPr="00FB78E0">
              <w:rPr>
                <w:rFonts w:ascii="Arial" w:hAnsi="Arial" w:cs="Arial"/>
                <w:sz w:val="19"/>
                <w:szCs w:val="19"/>
              </w:rPr>
              <w:t>Does the system include approved P-sorbing soil amendments</w:t>
            </w:r>
            <w:r w:rsidRPr="00FB78E0">
              <w:rPr>
                <w:rFonts w:ascii="Arial" w:hAnsi="Arial" w:cs="Arial"/>
                <w:sz w:val="19"/>
                <w:szCs w:val="19"/>
                <w:vertAlign w:val="superscript"/>
              </w:rPr>
              <w:t>2</w:t>
            </w:r>
            <w:r w:rsidRPr="00FB78E0">
              <w:rPr>
                <w:rFonts w:ascii="Arial" w:hAnsi="Arial" w:cs="Arial"/>
                <w:sz w:val="19"/>
                <w:szCs w:val="19"/>
              </w:rPr>
              <w:t>?</w:t>
            </w:r>
          </w:p>
          <w:p w14:paraId="59CA74FC" w14:textId="77777777" w:rsidR="00FB78E0" w:rsidRPr="00FB78E0" w:rsidRDefault="00FB78E0" w:rsidP="00FB78E0">
            <w:pPr>
              <w:numPr>
                <w:ilvl w:val="1"/>
                <w:numId w:val="2"/>
              </w:numPr>
              <w:tabs>
                <w:tab w:val="clear" w:pos="1440"/>
                <w:tab w:val="num" w:pos="1111"/>
              </w:tabs>
              <w:ind w:left="1111" w:right="76"/>
              <w:rPr>
                <w:rFonts w:ascii="Arial" w:hAnsi="Arial" w:cs="Arial"/>
                <w:sz w:val="19"/>
                <w:szCs w:val="19"/>
              </w:rPr>
            </w:pPr>
            <w:r w:rsidRPr="00FB78E0">
              <w:rPr>
                <w:rFonts w:ascii="Arial" w:hAnsi="Arial" w:cs="Arial"/>
                <w:sz w:val="19"/>
                <w:szCs w:val="19"/>
              </w:rPr>
              <w:t>If yes, additional 40% credit</w:t>
            </w:r>
          </w:p>
          <w:p w14:paraId="46F6C2CF" w14:textId="77777777" w:rsidR="00FB78E0" w:rsidRPr="00FB78E0" w:rsidRDefault="00FB78E0" w:rsidP="003B4713">
            <w:pPr>
              <w:spacing w:after="80"/>
              <w:ind w:left="301" w:right="72"/>
              <w:rPr>
                <w:rFonts w:ascii="Arial" w:hAnsi="Arial" w:cs="Arial"/>
                <w:b/>
                <w:bCs/>
                <w:sz w:val="19"/>
                <w:szCs w:val="19"/>
              </w:rPr>
            </w:pPr>
            <w:r w:rsidRPr="00FB78E0">
              <w:rPr>
                <w:rFonts w:ascii="Arial" w:hAnsi="Arial" w:cs="Arial"/>
                <w:b/>
                <w:bCs/>
                <w:sz w:val="19"/>
                <w:szCs w:val="19"/>
              </w:rPr>
              <w:t>Example DP removal credit</w:t>
            </w:r>
          </w:p>
          <w:p w14:paraId="039C622F" w14:textId="77777777" w:rsidR="00FB78E0" w:rsidRPr="00FB78E0" w:rsidRDefault="00FB78E0" w:rsidP="003B4713">
            <w:pPr>
              <w:numPr>
                <w:ilvl w:val="0"/>
                <w:numId w:val="3"/>
              </w:numPr>
              <w:tabs>
                <w:tab w:val="clear" w:pos="720"/>
                <w:tab w:val="num" w:pos="841"/>
              </w:tabs>
              <w:spacing w:after="80"/>
              <w:ind w:left="841" w:right="72" w:hanging="270"/>
              <w:rPr>
                <w:rFonts w:ascii="Arial" w:hAnsi="Arial" w:cs="Arial"/>
                <w:sz w:val="19"/>
                <w:szCs w:val="19"/>
              </w:rPr>
            </w:pPr>
            <w:r w:rsidRPr="00FB78E0">
              <w:rPr>
                <w:rFonts w:ascii="Arial" w:hAnsi="Arial" w:cs="Arial"/>
                <w:sz w:val="19"/>
                <w:szCs w:val="19"/>
              </w:rPr>
              <w:t>DP removal if dissolved credit is 20% = Dissolved fraction (45%) * removal rate for that fraction (20%) = 0.09 or 9 percent</w:t>
            </w:r>
          </w:p>
          <w:p w14:paraId="216F5687" w14:textId="77777777" w:rsidR="00FB78E0" w:rsidRPr="00FB78E0" w:rsidRDefault="00FB78E0" w:rsidP="003B4713">
            <w:pPr>
              <w:numPr>
                <w:ilvl w:val="0"/>
                <w:numId w:val="3"/>
              </w:numPr>
              <w:tabs>
                <w:tab w:val="clear" w:pos="720"/>
                <w:tab w:val="num" w:pos="841"/>
              </w:tabs>
              <w:spacing w:after="80"/>
              <w:ind w:left="841" w:right="72" w:hanging="270"/>
              <w:rPr>
                <w:rFonts w:ascii="Arial" w:hAnsi="Arial" w:cs="Arial"/>
                <w:sz w:val="19"/>
                <w:szCs w:val="19"/>
              </w:rPr>
            </w:pPr>
            <w:r w:rsidRPr="00FB78E0">
              <w:rPr>
                <w:rFonts w:ascii="Arial" w:hAnsi="Arial" w:cs="Arial"/>
                <w:sz w:val="19"/>
                <w:szCs w:val="19"/>
              </w:rPr>
              <w:t>Adjust DP removal if depth is less than 2 feet. Example depth = 1 foot then DP removal = 0.45 * 10% * 1/2 = 0.045</w:t>
            </w:r>
          </w:p>
          <w:p w14:paraId="47574E63" w14:textId="77777777" w:rsidR="00FB78E0" w:rsidRPr="00FB78E0" w:rsidRDefault="00FB78E0" w:rsidP="003B4713">
            <w:pPr>
              <w:numPr>
                <w:ilvl w:val="0"/>
                <w:numId w:val="3"/>
              </w:numPr>
              <w:tabs>
                <w:tab w:val="clear" w:pos="720"/>
                <w:tab w:val="num" w:pos="841"/>
              </w:tabs>
              <w:spacing w:after="80"/>
              <w:ind w:left="841" w:right="72" w:hanging="270"/>
              <w:rPr>
                <w:rFonts w:ascii="Arial" w:hAnsi="Arial" w:cs="Arial"/>
                <w:sz w:val="19"/>
                <w:szCs w:val="19"/>
              </w:rPr>
            </w:pPr>
            <w:r w:rsidRPr="00FB78E0">
              <w:rPr>
                <w:rFonts w:ascii="Arial" w:hAnsi="Arial" w:cs="Arial"/>
                <w:sz w:val="19"/>
                <w:szCs w:val="19"/>
              </w:rPr>
              <w:t>Adjust DP removal if dissolved credit is higher due to use of P-sorbing soil amendments</w:t>
            </w:r>
          </w:p>
          <w:p w14:paraId="7B670188" w14:textId="77777777" w:rsidR="00FB78E0" w:rsidRPr="00FB78E0" w:rsidRDefault="00FB78E0" w:rsidP="00FB78E0">
            <w:pPr>
              <w:numPr>
                <w:ilvl w:val="0"/>
                <w:numId w:val="3"/>
              </w:numPr>
              <w:tabs>
                <w:tab w:val="clear" w:pos="720"/>
                <w:tab w:val="num" w:pos="841"/>
              </w:tabs>
              <w:spacing w:after="120"/>
              <w:ind w:left="841" w:right="76" w:hanging="270"/>
              <w:rPr>
                <w:rFonts w:ascii="Arial" w:hAnsi="Arial" w:cs="Arial"/>
                <w:sz w:val="19"/>
                <w:szCs w:val="19"/>
              </w:rPr>
            </w:pPr>
            <w:r w:rsidRPr="00FB78E0">
              <w:rPr>
                <w:rFonts w:ascii="Arial" w:hAnsi="Arial" w:cs="Arial"/>
                <w:sz w:val="19"/>
                <w:szCs w:val="19"/>
              </w:rPr>
              <w:t>Adjust if the fraction (percentage) of DP is different than 45%</w:t>
            </w:r>
          </w:p>
          <w:p w14:paraId="39B2A8E1" w14:textId="77777777" w:rsidR="00FB78E0" w:rsidRPr="00FB78E0" w:rsidRDefault="00FB78E0" w:rsidP="00FB78E0">
            <w:pPr>
              <w:ind w:left="211" w:right="76"/>
              <w:rPr>
                <w:rFonts w:ascii="Arial" w:hAnsi="Arial" w:cs="Arial"/>
                <w:sz w:val="19"/>
                <w:szCs w:val="19"/>
              </w:rPr>
            </w:pPr>
            <w:r w:rsidRPr="00FB78E0">
              <w:rPr>
                <w:rFonts w:ascii="Arial" w:hAnsi="Arial" w:cs="Arial"/>
                <w:sz w:val="19"/>
                <w:szCs w:val="19"/>
              </w:rPr>
              <w:t>The assumption of 55 percent particulate phosphorus and 45 percent dissolved phosphorus is likely inaccurate for certain land uses, such as industrial, transportation, and some commercial areas. Studies indicate particulate phosphorus comprises a greater percent of total phosphorus in these land uses. It may therefore be appropriate to modify the above equation with locally derived ratios for particulate and dissolved phosphorus. For more information on fractionation of phosphorus in stormwater runoff, </w:t>
            </w:r>
            <w:hyperlink r:id="rId7" w:anchor="Ratios_of_particulate_to_dissolved_phosphorus" w:history="1">
              <w:r w:rsidRPr="00FB78E0">
                <w:rPr>
                  <w:rStyle w:val="Hyperlink"/>
                  <w:rFonts w:ascii="Arial" w:hAnsi="Arial" w:cs="Arial"/>
                  <w:sz w:val="19"/>
                  <w:szCs w:val="19"/>
                </w:rPr>
                <w:t>l</w:t>
              </w:r>
              <w:r w:rsidRPr="00FB78E0">
                <w:rPr>
                  <w:rStyle w:val="Hyperlink"/>
                  <w:rFonts w:ascii="Arial" w:hAnsi="Arial" w:cs="Arial"/>
                  <w:sz w:val="19"/>
                  <w:szCs w:val="19"/>
                </w:rPr>
                <w:t>ink here</w:t>
              </w:r>
            </w:hyperlink>
            <w:r w:rsidRPr="00FB78E0">
              <w:rPr>
                <w:rFonts w:ascii="Arial" w:hAnsi="Arial" w:cs="Arial"/>
                <w:sz w:val="19"/>
                <w:szCs w:val="19"/>
              </w:rPr>
              <w:t>.</w:t>
            </w:r>
          </w:p>
        </w:tc>
      </w:tr>
      <w:tr w:rsidR="00FB78E0" w:rsidRPr="00FB78E0" w14:paraId="68F87774" w14:textId="77777777" w:rsidTr="003B4713">
        <w:trPr>
          <w:trHeight w:val="720"/>
        </w:trPr>
        <w:tc>
          <w:tcPr>
            <w:tcW w:w="13503" w:type="dxa"/>
            <w:gridSpan w:val="2"/>
            <w:tcBorders>
              <w:top w:val="single" w:sz="4" w:space="0" w:color="auto"/>
              <w:left w:val="single" w:sz="4" w:space="0" w:color="auto"/>
              <w:bottom w:val="single" w:sz="4" w:space="0" w:color="auto"/>
              <w:right w:val="single" w:sz="4" w:space="0" w:color="auto"/>
            </w:tcBorders>
            <w:shd w:val="clear" w:color="auto" w:fill="F8F9FA"/>
            <w:vAlign w:val="center"/>
            <w:hideMark/>
          </w:tcPr>
          <w:p w14:paraId="70884CEF" w14:textId="77777777" w:rsidR="00FB78E0" w:rsidRPr="00FB78E0" w:rsidRDefault="00FB78E0" w:rsidP="00FB78E0">
            <w:pPr>
              <w:spacing w:after="80"/>
              <w:rPr>
                <w:rFonts w:ascii="Arial" w:hAnsi="Arial" w:cs="Arial"/>
                <w:sz w:val="18"/>
                <w:szCs w:val="18"/>
              </w:rPr>
            </w:pPr>
            <w:r w:rsidRPr="00FB78E0">
              <w:rPr>
                <w:rFonts w:ascii="Arial" w:hAnsi="Arial" w:cs="Arial"/>
                <w:sz w:val="18"/>
                <w:szCs w:val="18"/>
              </w:rPr>
              <w:t>TP removal = PP removal + DP removal</w:t>
            </w:r>
          </w:p>
          <w:p w14:paraId="37FC63BC" w14:textId="77777777" w:rsidR="00FB78E0" w:rsidRPr="00FB78E0" w:rsidRDefault="00FB78E0" w:rsidP="00FB78E0">
            <w:pPr>
              <w:spacing w:after="80"/>
              <w:rPr>
                <w:rFonts w:ascii="Arial" w:hAnsi="Arial" w:cs="Arial"/>
                <w:sz w:val="18"/>
                <w:szCs w:val="18"/>
              </w:rPr>
            </w:pPr>
            <w:r w:rsidRPr="00FB78E0">
              <w:rPr>
                <w:rFonts w:ascii="Arial" w:hAnsi="Arial" w:cs="Arial"/>
                <w:sz w:val="18"/>
                <w:szCs w:val="18"/>
                <w:vertAlign w:val="superscript"/>
              </w:rPr>
              <w:t>1</w:t>
            </w:r>
            <w:r w:rsidRPr="00FB78E0">
              <w:rPr>
                <w:rFonts w:ascii="Arial" w:hAnsi="Arial" w:cs="Arial"/>
                <w:sz w:val="18"/>
                <w:szCs w:val="18"/>
              </w:rPr>
              <w:t>Other widely accepted soil P tests may be used. Note: </w:t>
            </w:r>
            <w:hyperlink r:id="rId8" w:anchor="Notes_about_soil_phosphorus_testing:_applicability_and_interpretation" w:history="1">
              <w:r w:rsidRPr="00FB78E0">
                <w:rPr>
                  <w:rStyle w:val="Hyperlink"/>
                  <w:rFonts w:ascii="Arial" w:hAnsi="Arial" w:cs="Arial"/>
                  <w:sz w:val="18"/>
                  <w:szCs w:val="18"/>
                </w:rPr>
                <w:t>a basic conversion of test results</w:t>
              </w:r>
            </w:hyperlink>
            <w:r w:rsidRPr="00FB78E0">
              <w:rPr>
                <w:rFonts w:ascii="Arial" w:hAnsi="Arial" w:cs="Arial"/>
                <w:sz w:val="18"/>
                <w:szCs w:val="18"/>
              </w:rPr>
              <w:t> may be necessary</w:t>
            </w:r>
            <w:r w:rsidRPr="00FB78E0">
              <w:rPr>
                <w:rFonts w:ascii="Arial" w:hAnsi="Arial" w:cs="Arial"/>
                <w:sz w:val="18"/>
                <w:szCs w:val="18"/>
              </w:rPr>
              <w:br/>
            </w:r>
            <w:r w:rsidRPr="00FB78E0">
              <w:rPr>
                <w:rFonts w:ascii="Arial" w:hAnsi="Arial" w:cs="Arial"/>
                <w:sz w:val="18"/>
                <w:szCs w:val="18"/>
                <w:vertAlign w:val="superscript"/>
              </w:rPr>
              <w:t>2</w:t>
            </w:r>
            <w:r w:rsidRPr="00FB78E0">
              <w:rPr>
                <w:rFonts w:ascii="Arial" w:hAnsi="Arial" w:cs="Arial"/>
                <w:sz w:val="18"/>
                <w:szCs w:val="18"/>
              </w:rPr>
              <w:t>Acceptable P sorption amendments include</w:t>
            </w:r>
          </w:p>
          <w:p w14:paraId="688B0753" w14:textId="77777777" w:rsidR="00FB78E0" w:rsidRPr="00FB78E0" w:rsidRDefault="00FB78E0" w:rsidP="00FB78E0">
            <w:pPr>
              <w:numPr>
                <w:ilvl w:val="0"/>
                <w:numId w:val="4"/>
              </w:numPr>
              <w:spacing w:after="0"/>
              <w:rPr>
                <w:rFonts w:ascii="Arial" w:hAnsi="Arial" w:cs="Arial"/>
                <w:sz w:val="18"/>
                <w:szCs w:val="18"/>
              </w:rPr>
            </w:pPr>
            <w:r w:rsidRPr="00FB78E0">
              <w:rPr>
                <w:rFonts w:ascii="Arial" w:hAnsi="Arial" w:cs="Arial"/>
                <w:sz w:val="18"/>
                <w:szCs w:val="18"/>
              </w:rPr>
              <w:t>5% by volume elemental iron filings above IWS or elevated underdrain</w:t>
            </w:r>
          </w:p>
          <w:p w14:paraId="38A4E7CD" w14:textId="77777777" w:rsidR="00FB78E0" w:rsidRPr="00FB78E0" w:rsidRDefault="00FB78E0" w:rsidP="00FB78E0">
            <w:pPr>
              <w:numPr>
                <w:ilvl w:val="0"/>
                <w:numId w:val="4"/>
              </w:numPr>
              <w:spacing w:after="0"/>
              <w:rPr>
                <w:rFonts w:ascii="Arial" w:hAnsi="Arial" w:cs="Arial"/>
                <w:sz w:val="18"/>
                <w:szCs w:val="18"/>
              </w:rPr>
            </w:pPr>
            <w:r w:rsidRPr="00FB78E0">
              <w:rPr>
                <w:rFonts w:ascii="Arial" w:hAnsi="Arial" w:cs="Arial"/>
                <w:sz w:val="18"/>
                <w:szCs w:val="18"/>
              </w:rPr>
              <w:t>minimum 5% by volume sorptive media above IWS or elevated underdrain</w:t>
            </w:r>
          </w:p>
          <w:p w14:paraId="295D657C" w14:textId="77777777" w:rsidR="00FB78E0" w:rsidRPr="00FB78E0" w:rsidRDefault="00FB78E0" w:rsidP="00FB78E0">
            <w:pPr>
              <w:numPr>
                <w:ilvl w:val="0"/>
                <w:numId w:val="4"/>
              </w:numPr>
              <w:spacing w:after="0"/>
              <w:rPr>
                <w:rFonts w:ascii="Arial" w:hAnsi="Arial" w:cs="Arial"/>
                <w:sz w:val="18"/>
                <w:szCs w:val="18"/>
              </w:rPr>
            </w:pPr>
            <w:r w:rsidRPr="00FB78E0">
              <w:rPr>
                <w:rFonts w:ascii="Arial" w:hAnsi="Arial" w:cs="Arial"/>
                <w:sz w:val="18"/>
                <w:szCs w:val="18"/>
              </w:rPr>
              <w:t>minimum 5% by weight water treatment residuals (WTR) to a depth of at least 10 cm</w:t>
            </w:r>
          </w:p>
          <w:p w14:paraId="7F0B20DB" w14:textId="16D8C7D8" w:rsidR="00FB78E0" w:rsidRPr="00FB78E0" w:rsidRDefault="00FB78E0" w:rsidP="00FB78E0">
            <w:pPr>
              <w:numPr>
                <w:ilvl w:val="0"/>
                <w:numId w:val="4"/>
              </w:numPr>
              <w:spacing w:after="0"/>
              <w:rPr>
                <w:rFonts w:ascii="Arial" w:hAnsi="Arial" w:cs="Arial"/>
              </w:rPr>
            </w:pPr>
            <w:r w:rsidRPr="00FB78E0">
              <w:rPr>
                <w:rFonts w:ascii="Arial" w:hAnsi="Arial" w:cs="Arial"/>
                <w:sz w:val="18"/>
                <w:szCs w:val="18"/>
              </w:rPr>
              <w:t>other P</w:t>
            </w:r>
            <w:r>
              <w:rPr>
                <w:rFonts w:ascii="Arial" w:hAnsi="Arial" w:cs="Arial"/>
                <w:sz w:val="18"/>
                <w:szCs w:val="18"/>
              </w:rPr>
              <w:t>-</w:t>
            </w:r>
            <w:r w:rsidRPr="00FB78E0">
              <w:rPr>
                <w:rFonts w:ascii="Arial" w:hAnsi="Arial" w:cs="Arial"/>
                <w:sz w:val="18"/>
                <w:szCs w:val="18"/>
              </w:rPr>
              <w:t>sorptive amendments with supporting third party research results showing P reduction for at least 20 year lifespan, P credit commensurate with research results</w:t>
            </w:r>
          </w:p>
        </w:tc>
      </w:tr>
    </w:tbl>
    <w:p w14:paraId="3CE1C95D" w14:textId="7E923E95" w:rsidR="00366D1E" w:rsidRPr="003B4713" w:rsidRDefault="003B4713" w:rsidP="003B4713">
      <w:pPr>
        <w:rPr>
          <w:rFonts w:ascii="Arial" w:hAnsi="Arial" w:cs="Arial"/>
          <w:i/>
          <w:iCs/>
        </w:rPr>
      </w:pPr>
      <w:r w:rsidRPr="003B4713">
        <w:rPr>
          <w:rFonts w:ascii="Arial" w:hAnsi="Arial" w:cs="Arial"/>
          <w:i/>
          <w:iCs/>
        </w:rPr>
        <w:t>Source: Minnesota Stormwater Manual</w:t>
      </w:r>
    </w:p>
    <w:sectPr w:rsidR="00366D1E" w:rsidRPr="003B4713" w:rsidSect="00FB78E0">
      <w:pgSz w:w="15840" w:h="12240" w:orient="landscape" w:code="1"/>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6A4"/>
    <w:multiLevelType w:val="multilevel"/>
    <w:tmpl w:val="064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C0974"/>
    <w:multiLevelType w:val="multilevel"/>
    <w:tmpl w:val="A61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01295"/>
    <w:multiLevelType w:val="multilevel"/>
    <w:tmpl w:val="32D69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77178"/>
    <w:multiLevelType w:val="multilevel"/>
    <w:tmpl w:val="99D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303B3"/>
    <w:multiLevelType w:val="multilevel"/>
    <w:tmpl w:val="50B6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861473">
    <w:abstractNumId w:val="0"/>
  </w:num>
  <w:num w:numId="2" w16cid:durableId="253319553">
    <w:abstractNumId w:val="2"/>
  </w:num>
  <w:num w:numId="3" w16cid:durableId="2022734864">
    <w:abstractNumId w:val="4"/>
  </w:num>
  <w:num w:numId="4" w16cid:durableId="496579346">
    <w:abstractNumId w:val="3"/>
  </w:num>
  <w:num w:numId="5" w16cid:durableId="177917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E0"/>
    <w:rsid w:val="00027BA4"/>
    <w:rsid w:val="00180372"/>
    <w:rsid w:val="00366D1E"/>
    <w:rsid w:val="003B4713"/>
    <w:rsid w:val="00FB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1702"/>
  <w15:chartTrackingRefBased/>
  <w15:docId w15:val="{282BB9FF-CEA8-42CF-808F-72E9A90A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8E0"/>
    <w:rPr>
      <w:rFonts w:eastAsiaTheme="majorEastAsia" w:cstheme="majorBidi"/>
      <w:color w:val="272727" w:themeColor="text1" w:themeTint="D8"/>
    </w:rPr>
  </w:style>
  <w:style w:type="paragraph" w:styleId="Title">
    <w:name w:val="Title"/>
    <w:basedOn w:val="Normal"/>
    <w:next w:val="Normal"/>
    <w:link w:val="TitleChar"/>
    <w:uiPriority w:val="10"/>
    <w:qFormat/>
    <w:rsid w:val="00FB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8E0"/>
    <w:pPr>
      <w:spacing w:before="160"/>
      <w:jc w:val="center"/>
    </w:pPr>
    <w:rPr>
      <w:i/>
      <w:iCs/>
      <w:color w:val="404040" w:themeColor="text1" w:themeTint="BF"/>
    </w:rPr>
  </w:style>
  <w:style w:type="character" w:customStyle="1" w:styleId="QuoteChar">
    <w:name w:val="Quote Char"/>
    <w:basedOn w:val="DefaultParagraphFont"/>
    <w:link w:val="Quote"/>
    <w:uiPriority w:val="29"/>
    <w:rsid w:val="00FB78E0"/>
    <w:rPr>
      <w:i/>
      <w:iCs/>
      <w:color w:val="404040" w:themeColor="text1" w:themeTint="BF"/>
    </w:rPr>
  </w:style>
  <w:style w:type="paragraph" w:styleId="ListParagraph">
    <w:name w:val="List Paragraph"/>
    <w:basedOn w:val="Normal"/>
    <w:uiPriority w:val="34"/>
    <w:qFormat/>
    <w:rsid w:val="00FB78E0"/>
    <w:pPr>
      <w:ind w:left="720"/>
      <w:contextualSpacing/>
    </w:pPr>
  </w:style>
  <w:style w:type="character" w:styleId="IntenseEmphasis">
    <w:name w:val="Intense Emphasis"/>
    <w:basedOn w:val="DefaultParagraphFont"/>
    <w:uiPriority w:val="21"/>
    <w:qFormat/>
    <w:rsid w:val="00FB78E0"/>
    <w:rPr>
      <w:i/>
      <w:iCs/>
      <w:color w:val="0F4761" w:themeColor="accent1" w:themeShade="BF"/>
    </w:rPr>
  </w:style>
  <w:style w:type="paragraph" w:styleId="IntenseQuote">
    <w:name w:val="Intense Quote"/>
    <w:basedOn w:val="Normal"/>
    <w:next w:val="Normal"/>
    <w:link w:val="IntenseQuoteChar"/>
    <w:uiPriority w:val="30"/>
    <w:qFormat/>
    <w:rsid w:val="00FB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8E0"/>
    <w:rPr>
      <w:i/>
      <w:iCs/>
      <w:color w:val="0F4761" w:themeColor="accent1" w:themeShade="BF"/>
    </w:rPr>
  </w:style>
  <w:style w:type="character" w:styleId="IntenseReference">
    <w:name w:val="Intense Reference"/>
    <w:basedOn w:val="DefaultParagraphFont"/>
    <w:uiPriority w:val="32"/>
    <w:qFormat/>
    <w:rsid w:val="00FB78E0"/>
    <w:rPr>
      <w:b/>
      <w:bCs/>
      <w:smallCaps/>
      <w:color w:val="0F4761" w:themeColor="accent1" w:themeShade="BF"/>
      <w:spacing w:val="5"/>
    </w:rPr>
  </w:style>
  <w:style w:type="character" w:styleId="Hyperlink">
    <w:name w:val="Hyperlink"/>
    <w:basedOn w:val="DefaultParagraphFont"/>
    <w:uiPriority w:val="99"/>
    <w:unhideWhenUsed/>
    <w:rsid w:val="00FB78E0"/>
    <w:rPr>
      <w:color w:val="467886" w:themeColor="hyperlink"/>
      <w:u w:val="single"/>
    </w:rPr>
  </w:style>
  <w:style w:type="character" w:styleId="UnresolvedMention">
    <w:name w:val="Unresolved Mention"/>
    <w:basedOn w:val="DefaultParagraphFont"/>
    <w:uiPriority w:val="99"/>
    <w:semiHidden/>
    <w:unhideWhenUsed/>
    <w:rsid w:val="00FB78E0"/>
    <w:rPr>
      <w:color w:val="605E5C"/>
      <w:shd w:val="clear" w:color="auto" w:fill="E1DFDD"/>
    </w:rPr>
  </w:style>
  <w:style w:type="character" w:styleId="FollowedHyperlink">
    <w:name w:val="FollowedHyperlink"/>
    <w:basedOn w:val="DefaultParagraphFont"/>
    <w:uiPriority w:val="99"/>
    <w:semiHidden/>
    <w:unhideWhenUsed/>
    <w:rsid w:val="003B47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3218">
      <w:bodyDiv w:val="1"/>
      <w:marLeft w:val="0"/>
      <w:marRight w:val="0"/>
      <w:marTop w:val="0"/>
      <w:marBottom w:val="0"/>
      <w:divBdr>
        <w:top w:val="none" w:sz="0" w:space="0" w:color="auto"/>
        <w:left w:val="none" w:sz="0" w:space="0" w:color="auto"/>
        <w:bottom w:val="none" w:sz="0" w:space="0" w:color="auto"/>
        <w:right w:val="none" w:sz="0" w:space="0" w:color="auto"/>
      </w:divBdr>
    </w:div>
    <w:div w:id="17024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mwater-test.pca.state.mn.us/Design_criteria_for_bioretention" TargetMode="External"/><Relationship Id="rId3" Type="http://schemas.openxmlformats.org/officeDocument/2006/relationships/settings" Target="settings.xml"/><Relationship Id="rId7" Type="http://schemas.openxmlformats.org/officeDocument/2006/relationships/hyperlink" Target="https://stormwater-test.pca.state.mn.us/node/6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mwater-test.pca.state.mn.us/Design_criteria_for_bioretention" TargetMode="External"/><Relationship Id="rId5" Type="http://schemas.openxmlformats.org/officeDocument/2006/relationships/hyperlink" Target="https://stormwater-test.pca.state.mn.us/node/6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Kalinosky, Paula (She/Her/Hers) (MPCA)</dc:creator>
  <cp:keywords/>
  <dc:description/>
  <cp:lastModifiedBy>Kalinosky, Paula (She/Her/Hers) (MPCA)</cp:lastModifiedBy>
  <cp:revision>1</cp:revision>
  <dcterms:created xsi:type="dcterms:W3CDTF">2025-05-28T18:19:00Z</dcterms:created>
  <dcterms:modified xsi:type="dcterms:W3CDTF">2025-05-28T18:38:00Z</dcterms:modified>
</cp:coreProperties>
</file>