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B52CE" w14:textId="77777777" w:rsidR="00727A64" w:rsidRPr="00FB2305" w:rsidRDefault="00E25535" w:rsidP="00385EC5">
      <w:pPr>
        <w:pStyle w:val="BodyText"/>
        <w:spacing w:after="300"/>
        <w:rPr>
          <w:rFonts w:asciiTheme="minorHAnsi" w:hAnsiTheme="minorHAnsi" w:cstheme="minorHAnsi"/>
          <w:b/>
          <w:color w:val="174A7C"/>
          <w:spacing w:val="-10"/>
          <w:sz w:val="40"/>
          <w:szCs w:val="40"/>
        </w:rPr>
      </w:pPr>
      <w:r w:rsidRPr="00FB2305">
        <w:rPr>
          <w:rFonts w:asciiTheme="minorHAnsi" w:hAnsiTheme="minorHAnsi" w:cstheme="minorHAnsi"/>
          <w:b/>
          <w:color w:val="174A7C"/>
          <w:spacing w:val="-10"/>
          <w:sz w:val="40"/>
          <w:szCs w:val="40"/>
        </w:rPr>
        <w:t>Memorandum</w:t>
      </w:r>
    </w:p>
    <w:p w14:paraId="58346441" w14:textId="77777777" w:rsidR="008C6D04" w:rsidRDefault="008C6D04" w:rsidP="008C6D04">
      <w:pPr>
        <w:pStyle w:val="BodyText"/>
        <w:tabs>
          <w:tab w:val="left" w:pos="1260"/>
          <w:tab w:val="left" w:pos="4680"/>
          <w:tab w:val="left" w:pos="5760"/>
        </w:tabs>
        <w:ind w:left="5760" w:hanging="5760"/>
        <w:rPr>
          <w:rFonts w:asciiTheme="minorHAnsi" w:hAnsiTheme="minorHAnsi" w:cstheme="minorHAnsi"/>
          <w:b/>
        </w:rPr>
        <w:sectPr w:rsidR="008C6D04" w:rsidSect="008C6D04">
          <w:headerReference w:type="even" r:id="rId11"/>
          <w:headerReference w:type="default" r:id="rId12"/>
          <w:footerReference w:type="even" r:id="rId13"/>
          <w:footerReference w:type="default" r:id="rId14"/>
          <w:headerReference w:type="first" r:id="rId15"/>
          <w:footerReference w:type="first" r:id="rId16"/>
          <w:pgSz w:w="12240" w:h="15840" w:code="1"/>
          <w:pgMar w:top="1800" w:right="1800" w:bottom="1440" w:left="1800" w:header="720" w:footer="557" w:gutter="0"/>
          <w:cols w:space="720"/>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177EFD" w14:paraId="2ADABEBC" w14:textId="77777777" w:rsidTr="00177EFD">
        <w:tc>
          <w:tcPr>
            <w:tcW w:w="2500" w:type="pct"/>
            <w:vMerge w:val="restart"/>
          </w:tcPr>
          <w:p w14:paraId="6CF6ED06" w14:textId="77777777" w:rsidR="00177EFD" w:rsidRPr="008F6BF4" w:rsidRDefault="00177EFD" w:rsidP="008F6BF4">
            <w:pPr>
              <w:pStyle w:val="BodyText"/>
              <w:tabs>
                <w:tab w:val="left" w:pos="720"/>
                <w:tab w:val="left" w:pos="1260"/>
                <w:tab w:val="left" w:pos="5760"/>
                <w:tab w:val="left" w:pos="6840"/>
              </w:tabs>
              <w:spacing w:before="0" w:after="0"/>
              <w:ind w:left="720" w:hanging="720"/>
              <w:rPr>
                <w:rFonts w:asciiTheme="minorHAnsi" w:hAnsiTheme="minorHAnsi" w:cstheme="minorHAnsi"/>
                <w:b/>
              </w:rPr>
            </w:pPr>
            <w:r w:rsidRPr="00555B00">
              <w:rPr>
                <w:rFonts w:asciiTheme="minorHAnsi" w:hAnsiTheme="minorHAnsi" w:cstheme="minorHAnsi"/>
                <w:b/>
              </w:rPr>
              <w:t>From:</w:t>
            </w:r>
            <w:r>
              <w:rPr>
                <w:rFonts w:asciiTheme="minorHAnsi" w:hAnsiTheme="minorHAnsi" w:cstheme="minorHAnsi"/>
              </w:rPr>
              <w:tab/>
            </w:r>
            <w:r w:rsidR="008E5D63">
              <w:rPr>
                <w:rFonts w:asciiTheme="minorHAnsi" w:hAnsiTheme="minorHAnsi" w:cstheme="minorHAnsi"/>
              </w:rPr>
              <w:t xml:space="preserve">B. </w:t>
            </w:r>
            <w:proofErr w:type="spellStart"/>
            <w:r w:rsidR="008E5D63">
              <w:rPr>
                <w:rFonts w:asciiTheme="minorHAnsi" w:hAnsiTheme="minorHAnsi" w:cstheme="minorHAnsi"/>
              </w:rPr>
              <w:t>Crary</w:t>
            </w:r>
            <w:proofErr w:type="spellEnd"/>
            <w:r w:rsidR="008E5D63">
              <w:rPr>
                <w:rFonts w:asciiTheme="minorHAnsi" w:hAnsiTheme="minorHAnsi" w:cstheme="minorHAnsi"/>
              </w:rPr>
              <w:t xml:space="preserve">, A. </w:t>
            </w:r>
            <w:proofErr w:type="spellStart"/>
            <w:r w:rsidR="008E5D63">
              <w:rPr>
                <w:rFonts w:asciiTheme="minorHAnsi" w:hAnsiTheme="minorHAnsi" w:cstheme="minorHAnsi"/>
              </w:rPr>
              <w:t>Savineau</w:t>
            </w:r>
            <w:proofErr w:type="spellEnd"/>
            <w:r w:rsidR="008E5D63">
              <w:rPr>
                <w:rFonts w:asciiTheme="minorHAnsi" w:hAnsiTheme="minorHAnsi" w:cstheme="minorHAnsi"/>
              </w:rPr>
              <w:t xml:space="preserve">, A. </w:t>
            </w:r>
            <w:proofErr w:type="spellStart"/>
            <w:r w:rsidR="008E5D63">
              <w:rPr>
                <w:rFonts w:asciiTheme="minorHAnsi" w:hAnsiTheme="minorHAnsi" w:cstheme="minorHAnsi"/>
              </w:rPr>
              <w:t>Aufdenkampe</w:t>
            </w:r>
            <w:proofErr w:type="spellEnd"/>
          </w:p>
        </w:tc>
        <w:tc>
          <w:tcPr>
            <w:tcW w:w="2500" w:type="pct"/>
          </w:tcPr>
          <w:p w14:paraId="57EFF018" w14:textId="7D1894BA" w:rsidR="00177EFD" w:rsidRDefault="00177EFD" w:rsidP="008F6BF4">
            <w:pPr>
              <w:pStyle w:val="BodyText"/>
              <w:tabs>
                <w:tab w:val="left" w:pos="935"/>
                <w:tab w:val="left" w:pos="5760"/>
                <w:tab w:val="left" w:pos="6840"/>
              </w:tabs>
              <w:spacing w:before="0" w:after="0"/>
              <w:rPr>
                <w:rFonts w:asciiTheme="minorHAnsi" w:hAnsiTheme="minorHAnsi" w:cstheme="minorHAnsi"/>
              </w:rPr>
            </w:pPr>
            <w:r w:rsidRPr="00555B00">
              <w:rPr>
                <w:rFonts w:asciiTheme="minorHAnsi" w:hAnsiTheme="minorHAnsi" w:cstheme="minorHAnsi"/>
                <w:b/>
              </w:rPr>
              <w:t>Date:</w:t>
            </w:r>
            <w:r w:rsidR="00305D8E">
              <w:rPr>
                <w:rFonts w:asciiTheme="minorHAnsi" w:hAnsiTheme="minorHAnsi" w:cstheme="minorHAnsi"/>
              </w:rPr>
              <w:t xml:space="preserve"> </w:t>
            </w:r>
            <w:r w:rsidR="00305D8E" w:rsidRPr="00426A33">
              <w:rPr>
                <w:rFonts w:asciiTheme="minorHAnsi" w:hAnsiTheme="minorHAnsi" w:cstheme="minorHAnsi"/>
              </w:rPr>
              <w:t>05/</w:t>
            </w:r>
            <w:r w:rsidR="00426A33" w:rsidRPr="00426A33">
              <w:rPr>
                <w:rFonts w:asciiTheme="minorHAnsi" w:hAnsiTheme="minorHAnsi" w:cstheme="minorHAnsi"/>
              </w:rPr>
              <w:t>14</w:t>
            </w:r>
            <w:r w:rsidR="00305D8E" w:rsidRPr="00426A33">
              <w:rPr>
                <w:rFonts w:asciiTheme="minorHAnsi" w:hAnsiTheme="minorHAnsi" w:cstheme="minorHAnsi"/>
              </w:rPr>
              <w:t>/2020</w:t>
            </w:r>
          </w:p>
        </w:tc>
      </w:tr>
      <w:tr w:rsidR="00177EFD" w14:paraId="0364ECA3" w14:textId="77777777" w:rsidTr="00177EFD">
        <w:tc>
          <w:tcPr>
            <w:tcW w:w="2500" w:type="pct"/>
            <w:vMerge/>
          </w:tcPr>
          <w:p w14:paraId="24D3E8FF" w14:textId="77777777" w:rsidR="00177EFD" w:rsidRDefault="00177EFD" w:rsidP="008C6D04">
            <w:pPr>
              <w:pStyle w:val="BodyText"/>
              <w:tabs>
                <w:tab w:val="left" w:pos="1080"/>
                <w:tab w:val="left" w:pos="1260"/>
                <w:tab w:val="left" w:pos="5760"/>
                <w:tab w:val="left" w:pos="6840"/>
              </w:tabs>
              <w:spacing w:before="0" w:after="0"/>
              <w:rPr>
                <w:rFonts w:asciiTheme="minorHAnsi" w:hAnsiTheme="minorHAnsi" w:cstheme="minorHAnsi"/>
              </w:rPr>
            </w:pPr>
          </w:p>
        </w:tc>
        <w:tc>
          <w:tcPr>
            <w:tcW w:w="2500" w:type="pct"/>
          </w:tcPr>
          <w:p w14:paraId="709E490A" w14:textId="4DE59485" w:rsidR="00177EFD" w:rsidRDefault="00177EFD" w:rsidP="00EB739C">
            <w:pPr>
              <w:pStyle w:val="BodyText"/>
              <w:tabs>
                <w:tab w:val="left" w:pos="935"/>
                <w:tab w:val="left" w:pos="5760"/>
                <w:tab w:val="left" w:pos="6840"/>
              </w:tabs>
              <w:spacing w:before="0" w:after="0"/>
              <w:rPr>
                <w:rFonts w:asciiTheme="minorHAnsi" w:hAnsiTheme="minorHAnsi" w:cstheme="minorHAnsi"/>
              </w:rPr>
            </w:pPr>
            <w:r w:rsidRPr="00555B00">
              <w:rPr>
                <w:rFonts w:asciiTheme="minorHAnsi" w:hAnsiTheme="minorHAnsi" w:cstheme="minorHAnsi"/>
                <w:b/>
              </w:rPr>
              <w:t>Project:</w:t>
            </w:r>
            <w:r w:rsidR="008C3D74">
              <w:rPr>
                <w:rFonts w:asciiTheme="minorHAnsi" w:hAnsiTheme="minorHAnsi" w:cstheme="minorHAnsi"/>
              </w:rPr>
              <w:t xml:space="preserve"> </w:t>
            </w:r>
            <w:r w:rsidR="00305D8E">
              <w:rPr>
                <w:rFonts w:asciiTheme="minorHAnsi" w:hAnsiTheme="minorHAnsi" w:cstheme="minorHAnsi"/>
              </w:rPr>
              <w:t>MPCA-GI</w:t>
            </w:r>
          </w:p>
        </w:tc>
      </w:tr>
      <w:tr w:rsidR="00555B00" w14:paraId="2E06524A" w14:textId="77777777" w:rsidTr="00177EFD">
        <w:tc>
          <w:tcPr>
            <w:tcW w:w="2500" w:type="pct"/>
          </w:tcPr>
          <w:p w14:paraId="51D6E12F" w14:textId="77777777" w:rsidR="00555B00" w:rsidRDefault="00555B00" w:rsidP="008F6BF4">
            <w:pPr>
              <w:pStyle w:val="BodyText"/>
              <w:tabs>
                <w:tab w:val="left" w:pos="720"/>
                <w:tab w:val="left" w:pos="5760"/>
                <w:tab w:val="left" w:pos="6840"/>
              </w:tabs>
              <w:spacing w:before="0" w:after="0"/>
              <w:ind w:left="720" w:hanging="720"/>
              <w:rPr>
                <w:rFonts w:asciiTheme="minorHAnsi" w:hAnsiTheme="minorHAnsi" w:cstheme="minorHAnsi"/>
              </w:rPr>
            </w:pPr>
            <w:r w:rsidRPr="00555B00">
              <w:rPr>
                <w:rFonts w:asciiTheme="minorHAnsi" w:hAnsiTheme="minorHAnsi" w:cstheme="minorHAnsi"/>
                <w:b/>
              </w:rPr>
              <w:t>To:</w:t>
            </w:r>
            <w:r>
              <w:rPr>
                <w:rFonts w:asciiTheme="minorHAnsi" w:hAnsiTheme="minorHAnsi" w:cstheme="minorHAnsi"/>
              </w:rPr>
              <w:tab/>
            </w:r>
            <w:r w:rsidR="008E5D63">
              <w:rPr>
                <w:rFonts w:asciiTheme="minorHAnsi" w:hAnsiTheme="minorHAnsi" w:cstheme="minorHAnsi"/>
              </w:rPr>
              <w:t xml:space="preserve">C. </w:t>
            </w:r>
            <w:proofErr w:type="spellStart"/>
            <w:r w:rsidR="008E5D63">
              <w:rPr>
                <w:rFonts w:asciiTheme="minorHAnsi" w:hAnsiTheme="minorHAnsi" w:cstheme="minorHAnsi"/>
              </w:rPr>
              <w:t>Kjeldahl</w:t>
            </w:r>
            <w:proofErr w:type="spellEnd"/>
            <w:r w:rsidR="008E5D63">
              <w:rPr>
                <w:rFonts w:asciiTheme="minorHAnsi" w:hAnsiTheme="minorHAnsi" w:cstheme="minorHAnsi"/>
              </w:rPr>
              <w:t>, M. Trojan</w:t>
            </w:r>
          </w:p>
        </w:tc>
        <w:tc>
          <w:tcPr>
            <w:tcW w:w="2500" w:type="pct"/>
          </w:tcPr>
          <w:p w14:paraId="3B89BC37" w14:textId="77777777" w:rsidR="00555B00" w:rsidRDefault="00555B00" w:rsidP="008F6BF4">
            <w:pPr>
              <w:pStyle w:val="BodyText"/>
              <w:tabs>
                <w:tab w:val="left" w:pos="935"/>
                <w:tab w:val="left" w:pos="5760"/>
                <w:tab w:val="left" w:pos="6840"/>
              </w:tabs>
              <w:spacing w:before="0" w:after="0"/>
              <w:ind w:left="972" w:hanging="972"/>
              <w:rPr>
                <w:rFonts w:asciiTheme="minorHAnsi" w:hAnsiTheme="minorHAnsi" w:cstheme="minorHAnsi"/>
              </w:rPr>
            </w:pPr>
            <w:r w:rsidRPr="00555B00">
              <w:rPr>
                <w:rFonts w:asciiTheme="minorHAnsi" w:hAnsiTheme="minorHAnsi" w:cstheme="minorHAnsi"/>
                <w:b/>
              </w:rPr>
              <w:t>CC:</w:t>
            </w:r>
            <w:r>
              <w:rPr>
                <w:rFonts w:asciiTheme="minorHAnsi" w:hAnsiTheme="minorHAnsi" w:cstheme="minorHAnsi"/>
              </w:rPr>
              <w:tab/>
            </w:r>
          </w:p>
        </w:tc>
      </w:tr>
    </w:tbl>
    <w:p w14:paraId="49F06EF3" w14:textId="77777777" w:rsidR="008C6D04" w:rsidRDefault="008C6D04" w:rsidP="008C6D04">
      <w:pPr>
        <w:pStyle w:val="BodyText"/>
        <w:tabs>
          <w:tab w:val="left" w:pos="1080"/>
          <w:tab w:val="left" w:pos="1260"/>
          <w:tab w:val="left" w:pos="5760"/>
          <w:tab w:val="left" w:pos="6840"/>
        </w:tabs>
        <w:spacing w:before="0" w:after="0"/>
        <w:ind w:left="1080" w:hanging="1080"/>
        <w:rPr>
          <w:rFonts w:asciiTheme="minorHAnsi" w:hAnsiTheme="minorHAnsi" w:cstheme="minorHAnsi"/>
          <w:b/>
        </w:rPr>
      </w:pPr>
    </w:p>
    <w:p w14:paraId="27DD2E0E" w14:textId="77777777" w:rsidR="008C6D04" w:rsidRDefault="008C6D04" w:rsidP="00C15A32">
      <w:pPr>
        <w:pStyle w:val="BodyText"/>
        <w:tabs>
          <w:tab w:val="left" w:pos="1260"/>
          <w:tab w:val="left" w:pos="5760"/>
          <w:tab w:val="left" w:pos="6840"/>
        </w:tabs>
        <w:spacing w:before="0" w:after="0"/>
        <w:ind w:left="1260" w:hanging="1260"/>
        <w:rPr>
          <w:rFonts w:asciiTheme="minorHAnsi" w:hAnsiTheme="minorHAnsi" w:cstheme="minorHAnsi"/>
          <w:b/>
        </w:rPr>
        <w:sectPr w:rsidR="008C6D04" w:rsidSect="00AA3BA3">
          <w:type w:val="continuous"/>
          <w:pgSz w:w="12240" w:h="15840" w:code="1"/>
          <w:pgMar w:top="1800" w:right="1800" w:bottom="1440" w:left="1800" w:header="720" w:footer="557" w:gutter="0"/>
          <w:cols w:space="720"/>
          <w:titlePg/>
          <w:docGrid w:linePitch="360"/>
        </w:sectPr>
      </w:pPr>
    </w:p>
    <w:p w14:paraId="6B3C9764" w14:textId="591C7D45" w:rsidR="00217091" w:rsidRDefault="00C15A32" w:rsidP="008C6D04">
      <w:pPr>
        <w:pStyle w:val="BodyText"/>
        <w:tabs>
          <w:tab w:val="left" w:pos="1080"/>
          <w:tab w:val="left" w:pos="5760"/>
          <w:tab w:val="left" w:pos="6840"/>
        </w:tabs>
        <w:spacing w:before="0" w:after="0"/>
        <w:ind w:left="1080" w:hanging="1080"/>
        <w:rPr>
          <w:rFonts w:asciiTheme="minorHAnsi" w:hAnsiTheme="minorHAnsi" w:cstheme="minorHAnsi"/>
          <w:b/>
        </w:rPr>
      </w:pPr>
      <w:r w:rsidRPr="00C15A32">
        <w:rPr>
          <w:rFonts w:asciiTheme="minorHAnsi" w:hAnsiTheme="minorHAnsi" w:cstheme="minorHAnsi"/>
          <w:b/>
        </w:rPr>
        <w:t>SUBJECT:</w:t>
      </w:r>
      <w:r w:rsidRPr="00C15A32">
        <w:rPr>
          <w:rFonts w:asciiTheme="minorHAnsi" w:hAnsiTheme="minorHAnsi" w:cstheme="minorHAnsi"/>
          <w:b/>
        </w:rPr>
        <w:tab/>
      </w:r>
      <w:r w:rsidR="008E5D63">
        <w:rPr>
          <w:rFonts w:asciiTheme="minorHAnsi" w:hAnsiTheme="minorHAnsi" w:cstheme="minorHAnsi"/>
          <w:b/>
        </w:rPr>
        <w:t>Tree Interception Capacity</w:t>
      </w:r>
      <w:r w:rsidR="008C3D74">
        <w:rPr>
          <w:rFonts w:asciiTheme="minorHAnsi" w:hAnsiTheme="minorHAnsi" w:cstheme="minorHAnsi"/>
          <w:b/>
        </w:rPr>
        <w:t>: Analyses and Recommendations</w:t>
      </w:r>
    </w:p>
    <w:p w14:paraId="0E88BC09" w14:textId="77777777" w:rsidR="00C15A32" w:rsidRPr="00C15A32" w:rsidRDefault="00C15A32" w:rsidP="00FB2305">
      <w:pPr>
        <w:pStyle w:val="BodyText"/>
        <w:pBdr>
          <w:bottom w:val="single" w:sz="24" w:space="1" w:color="174A7C"/>
        </w:pBdr>
        <w:tabs>
          <w:tab w:val="left" w:pos="1080"/>
          <w:tab w:val="left" w:pos="5760"/>
          <w:tab w:val="left" w:pos="6840"/>
        </w:tabs>
        <w:spacing w:before="0" w:after="0"/>
        <w:ind w:left="1080" w:hanging="1080"/>
        <w:jc w:val="right"/>
        <w:rPr>
          <w:rFonts w:asciiTheme="minorHAnsi" w:hAnsiTheme="minorHAnsi" w:cstheme="minorHAnsi"/>
          <w:b/>
        </w:rPr>
      </w:pPr>
    </w:p>
    <w:p w14:paraId="2EA25D8B" w14:textId="77777777" w:rsidR="00612294" w:rsidRDefault="008E5D63" w:rsidP="008E5D63">
      <w:pPr>
        <w:pStyle w:val="MemoHeading1"/>
      </w:pPr>
      <w:r>
        <w:t>Summary</w:t>
      </w:r>
    </w:p>
    <w:p w14:paraId="4215FD39" w14:textId="5D8D8094" w:rsidR="00971351" w:rsidRDefault="00971351" w:rsidP="002A3748">
      <w:pPr>
        <w:pStyle w:val="BodyText"/>
      </w:pPr>
      <w:proofErr w:type="spellStart"/>
      <w:r>
        <w:t>LimnoTech</w:t>
      </w:r>
      <w:proofErr w:type="spellEnd"/>
      <w:r>
        <w:t xml:space="preserve"> was tasked to review the tree rainfall interception values shown in the MPCA stormwater manual and used in the MIDS calculator and, if needed, make recommendations for modifying these values. The tree rainfall interception values are expressed as both an event-based “credit” that represents the rainfall interception depth capacity of a tree, and an annual percent performance that represents the annual rainfall interception and runoff reduction capacity of a tree. </w:t>
      </w:r>
    </w:p>
    <w:p w14:paraId="0E325BC3" w14:textId="45D60D06" w:rsidR="00291648" w:rsidRDefault="002A3748" w:rsidP="002A3748">
      <w:pPr>
        <w:pStyle w:val="BodyText"/>
      </w:pPr>
      <w:proofErr w:type="spellStart"/>
      <w:r>
        <w:t>LimnoTech</w:t>
      </w:r>
      <w:proofErr w:type="spellEnd"/>
      <w:r>
        <w:t xml:space="preserve"> performed a literature</w:t>
      </w:r>
      <w:r w:rsidR="00971351">
        <w:t xml:space="preserve"> </w:t>
      </w:r>
      <w:r w:rsidR="00EB739C">
        <w:t xml:space="preserve">review of the most recent science describing </w:t>
      </w:r>
      <w:r>
        <w:t xml:space="preserve">the interception capacity of trees. </w:t>
      </w:r>
      <w:r w:rsidR="00971351">
        <w:t xml:space="preserve">The literature typically reported interception capacity as either an event-based interception depth expressed as inches of rain intercepted, or as an annual interception performance expressed as a percent of annual precipitation intercepted. </w:t>
      </w:r>
      <w:r>
        <w:t xml:space="preserve">Comparisons between studies that look at interception </w:t>
      </w:r>
      <w:r w:rsidR="00B27395">
        <w:t xml:space="preserve">depths </w:t>
      </w:r>
      <w:r>
        <w:t>were difficult</w:t>
      </w:r>
      <w:r w:rsidR="00522CEB">
        <w:t xml:space="preserve"> due to important</w:t>
      </w:r>
      <w:r>
        <w:t xml:space="preserve"> </w:t>
      </w:r>
      <w:r w:rsidR="00522CEB">
        <w:t xml:space="preserve">differences in study designs (i.e. </w:t>
      </w:r>
      <w:r>
        <w:t xml:space="preserve">uniqueness of the individual trees, </w:t>
      </w:r>
      <w:r w:rsidR="00522CEB">
        <w:t>sizes of studied</w:t>
      </w:r>
      <w:r>
        <w:t xml:space="preserve"> rainfall events, and </w:t>
      </w:r>
      <w:r w:rsidR="00522CEB">
        <w:t xml:space="preserve">selection of reported </w:t>
      </w:r>
      <w:r w:rsidR="00EB739C">
        <w:t>statistical values)</w:t>
      </w:r>
      <w:r>
        <w:t xml:space="preserve">. </w:t>
      </w:r>
      <w:r w:rsidR="00522CEB">
        <w:t>These</w:t>
      </w:r>
      <w:r w:rsidR="000D34D8">
        <w:t xml:space="preserve"> study-to-study differences would require normalization to a common set of factors to be comparable, because </w:t>
      </w:r>
      <w:r w:rsidR="00522CEB">
        <w:t xml:space="preserve">interception depth </w:t>
      </w:r>
      <w:r w:rsidR="000D34D8">
        <w:t>has been shown to be</w:t>
      </w:r>
      <w:r w:rsidR="00522CEB">
        <w:t xml:space="preserve"> positively correlated with storm size and intensity (up to storms </w:t>
      </w:r>
      <w:r w:rsidR="006A6898">
        <w:t xml:space="preserve">of </w:t>
      </w:r>
      <w:r w:rsidR="00522CEB">
        <w:t>at least 2 inches or 50 mm</w:t>
      </w:r>
      <w:r w:rsidR="006A6898">
        <w:t xml:space="preserve"> in size</w:t>
      </w:r>
      <w:r w:rsidR="00522CEB">
        <w:t>)</w:t>
      </w:r>
      <w:r w:rsidR="000D34D8">
        <w:t xml:space="preserve"> and related the morphology of individual trees as captured by metrics such as leaf area index. </w:t>
      </w:r>
    </w:p>
    <w:p w14:paraId="3458D875" w14:textId="58334586" w:rsidR="002A3748" w:rsidRDefault="00EB739C" w:rsidP="002A3748">
      <w:pPr>
        <w:pStyle w:val="BodyText"/>
      </w:pPr>
      <w:r>
        <w:t xml:space="preserve">In </w:t>
      </w:r>
      <w:r w:rsidR="00E97390">
        <w:t>contrast</w:t>
      </w:r>
      <w:r>
        <w:t xml:space="preserve">, </w:t>
      </w:r>
      <w:r w:rsidR="00B27395">
        <w:t xml:space="preserve">studies that reported on the </w:t>
      </w:r>
      <w:r w:rsidR="002A3748">
        <w:t xml:space="preserve">long-term rainfall </w:t>
      </w:r>
      <w:r w:rsidR="00B27395">
        <w:t>interception performance</w:t>
      </w:r>
      <w:r w:rsidR="00291648">
        <w:t xml:space="preserve"> (</w:t>
      </w:r>
      <w:proofErr w:type="gramStart"/>
      <w:r w:rsidR="00291648">
        <w:t>i.e.</w:t>
      </w:r>
      <w:proofErr w:type="gramEnd"/>
      <w:r w:rsidR="00291648">
        <w:t xml:space="preserve"> percentage of total rainfall intercepted over a </w:t>
      </w:r>
      <w:r w:rsidR="00840F8B">
        <w:t>weeks to months)</w:t>
      </w:r>
      <w:r w:rsidR="00B27395">
        <w:t xml:space="preserve"> were easier to compare</w:t>
      </w:r>
      <w:r w:rsidR="00291648">
        <w:t>. T</w:t>
      </w:r>
      <w:r w:rsidR="000D34D8">
        <w:t xml:space="preserve">he longer study periods subjected the </w:t>
      </w:r>
      <w:r w:rsidR="00E12D81">
        <w:t>test</w:t>
      </w:r>
      <w:r w:rsidR="000D34D8">
        <w:t xml:space="preserve"> trees to wider ranges of </w:t>
      </w:r>
      <w:r w:rsidR="00B27395" w:rsidRPr="00B27395">
        <w:t>rainfall event</w:t>
      </w:r>
      <w:r w:rsidR="000D34D8">
        <w:t xml:space="preserve"> size that were more comparable among studies and</w:t>
      </w:r>
      <w:r w:rsidR="00B27395">
        <w:t xml:space="preserve"> helped temper the variability due to the uniqueness of rainfall events. </w:t>
      </w:r>
    </w:p>
    <w:p w14:paraId="76CE75AC" w14:textId="51C50AA9" w:rsidR="002A3748" w:rsidRDefault="002A3748" w:rsidP="002A3748">
      <w:pPr>
        <w:pStyle w:val="BodyText"/>
      </w:pPr>
      <w:proofErr w:type="spellStart"/>
      <w:r>
        <w:t>LimnoTech</w:t>
      </w:r>
      <w:proofErr w:type="spellEnd"/>
      <w:r>
        <w:t xml:space="preserve"> conducted a </w:t>
      </w:r>
      <w:r w:rsidR="00B27395">
        <w:t xml:space="preserve">meta-analysis of the annual rainfall </w:t>
      </w:r>
      <w:r>
        <w:t xml:space="preserve">interception </w:t>
      </w:r>
      <w:proofErr w:type="gramStart"/>
      <w:r>
        <w:t>performance, and</w:t>
      </w:r>
      <w:proofErr w:type="gramEnd"/>
      <w:r>
        <w:t xml:space="preserve"> </w:t>
      </w:r>
      <w:r w:rsidR="00B27395">
        <w:t xml:space="preserve">observed that </w:t>
      </w:r>
      <w:r w:rsidRPr="002D48C1">
        <w:rPr>
          <w:b/>
        </w:rPr>
        <w:t>deciduous and coniferous trees intercept approximately 30% and 5</w:t>
      </w:r>
      <w:r w:rsidR="00377127">
        <w:rPr>
          <w:b/>
        </w:rPr>
        <w:t>7</w:t>
      </w:r>
      <w:r w:rsidRPr="002D48C1">
        <w:rPr>
          <w:b/>
        </w:rPr>
        <w:t xml:space="preserve">% of annual precipitation. </w:t>
      </w:r>
      <w:r>
        <w:t xml:space="preserve">These values are based on the average of the performances documented in all reviewed studies for trees and climates that are applicable to Minnesota. </w:t>
      </w:r>
    </w:p>
    <w:p w14:paraId="25EB60C9" w14:textId="292D16F1" w:rsidR="008E5D63" w:rsidRDefault="008E5D63" w:rsidP="008E5D63">
      <w:pPr>
        <w:pStyle w:val="BodyText"/>
      </w:pPr>
      <w:proofErr w:type="spellStart"/>
      <w:r>
        <w:t>LimnoTech</w:t>
      </w:r>
      <w:proofErr w:type="spellEnd"/>
      <w:r>
        <w:t xml:space="preserve"> </w:t>
      </w:r>
      <w:r w:rsidR="00B27395">
        <w:t xml:space="preserve">then </w:t>
      </w:r>
      <w:r>
        <w:t xml:space="preserve">constructed </w:t>
      </w:r>
      <w:r w:rsidR="007168E5">
        <w:t xml:space="preserve">a </w:t>
      </w:r>
      <w:r>
        <w:t>simple</w:t>
      </w:r>
      <w:r w:rsidR="007168E5">
        <w:t xml:space="preserve"> model</w:t>
      </w:r>
      <w:r>
        <w:t xml:space="preserve"> to estimate the </w:t>
      </w:r>
      <w:r w:rsidR="00B27395">
        <w:t xml:space="preserve">rainfall </w:t>
      </w:r>
      <w:r>
        <w:t xml:space="preserve">interception </w:t>
      </w:r>
      <w:r w:rsidR="002A3748">
        <w:t xml:space="preserve">depth </w:t>
      </w:r>
      <w:r>
        <w:t xml:space="preserve">capacity of urban trees based </w:t>
      </w:r>
      <w:r w:rsidR="007357F0">
        <w:t>off</w:t>
      </w:r>
      <w:r>
        <w:t xml:space="preserve"> </w:t>
      </w:r>
      <w:r w:rsidR="002A3748">
        <w:t xml:space="preserve">the annual </w:t>
      </w:r>
      <w:r w:rsidR="00B27395">
        <w:t xml:space="preserve">rainfall </w:t>
      </w:r>
      <w:r w:rsidR="002A3748">
        <w:t>percent interception</w:t>
      </w:r>
      <w:r>
        <w:t xml:space="preserve">. The models showed that </w:t>
      </w:r>
      <w:r w:rsidRPr="008E5D63">
        <w:rPr>
          <w:b/>
        </w:rPr>
        <w:t xml:space="preserve">deciduous and coniferous </w:t>
      </w:r>
      <w:r w:rsidR="007357F0" w:rsidRPr="008E5D63">
        <w:rPr>
          <w:b/>
        </w:rPr>
        <w:t>trees with</w:t>
      </w:r>
      <w:r w:rsidRPr="008E5D63">
        <w:rPr>
          <w:b/>
        </w:rPr>
        <w:t xml:space="preserve"> interception capacities of 0.14</w:t>
      </w:r>
      <w:r w:rsidR="002A3748">
        <w:rPr>
          <w:b/>
        </w:rPr>
        <w:t xml:space="preserve"> inches</w:t>
      </w:r>
      <w:r w:rsidRPr="008E5D63">
        <w:rPr>
          <w:b/>
        </w:rPr>
        <w:t xml:space="preserve"> and 0.</w:t>
      </w:r>
      <w:r w:rsidR="00377127">
        <w:rPr>
          <w:b/>
        </w:rPr>
        <w:t>4</w:t>
      </w:r>
      <w:r w:rsidR="00F95E5F">
        <w:rPr>
          <w:b/>
        </w:rPr>
        <w:t>0</w:t>
      </w:r>
      <w:r w:rsidR="002A3748">
        <w:rPr>
          <w:b/>
        </w:rPr>
        <w:t xml:space="preserve"> inches</w:t>
      </w:r>
      <w:r w:rsidRPr="008E5D63">
        <w:rPr>
          <w:b/>
        </w:rPr>
        <w:t>, respectively, would intercept approximately 30% and 5</w:t>
      </w:r>
      <w:r w:rsidR="00377127">
        <w:rPr>
          <w:b/>
        </w:rPr>
        <w:t>7</w:t>
      </w:r>
      <w:r w:rsidRPr="008E5D63">
        <w:rPr>
          <w:b/>
        </w:rPr>
        <w:t>% of annual rainfall over the canopy area</w:t>
      </w:r>
      <w:r>
        <w:t xml:space="preserve">. </w:t>
      </w:r>
    </w:p>
    <w:p w14:paraId="238C5CF3" w14:textId="01515003" w:rsidR="002A3748" w:rsidRPr="002D48C1" w:rsidRDefault="002A3748" w:rsidP="002A3748">
      <w:pPr>
        <w:pStyle w:val="BodyText"/>
      </w:pPr>
      <w:proofErr w:type="spellStart"/>
      <w:r>
        <w:lastRenderedPageBreak/>
        <w:t>LimnoTech</w:t>
      </w:r>
      <w:proofErr w:type="spellEnd"/>
      <w:r>
        <w:t xml:space="preserve"> also </w:t>
      </w:r>
      <w:r w:rsidR="00B27395">
        <w:rPr>
          <w:b/>
        </w:rPr>
        <w:t>developed</w:t>
      </w:r>
      <w:r w:rsidRPr="00B25408">
        <w:rPr>
          <w:b/>
        </w:rPr>
        <w:t xml:space="preserve"> a </w:t>
      </w:r>
      <w:r>
        <w:rPr>
          <w:b/>
        </w:rPr>
        <w:t xml:space="preserve">proposed </w:t>
      </w:r>
      <w:r w:rsidR="00B27395">
        <w:rPr>
          <w:b/>
        </w:rPr>
        <w:t xml:space="preserve">methodology to incorporate the annual performance values in the </w:t>
      </w:r>
      <w:r w:rsidRPr="00B25408">
        <w:rPr>
          <w:b/>
        </w:rPr>
        <w:t>MIDS calculator.</w:t>
      </w:r>
      <w:r>
        <w:t xml:space="preserve"> The current version of the MIDS calculator </w:t>
      </w:r>
      <w:r w:rsidR="00B27395">
        <w:t>aggregates interception and infiltration mechanisms, which results in an overall underestimation</w:t>
      </w:r>
      <w:r w:rsidR="00EB739C">
        <w:t xml:space="preserve"> of annual performance. The proposed methodology</w:t>
      </w:r>
      <w:r>
        <w:t xml:space="preserve"> </w:t>
      </w:r>
      <w:r w:rsidR="00EB739C">
        <w:t xml:space="preserve">breaks out the interception and infiltration mechanisms, which results in a more accurate </w:t>
      </w:r>
      <w:r>
        <w:t>reflect</w:t>
      </w:r>
      <w:r w:rsidR="00EB739C">
        <w:t>ion of the annual performance obtained from the literature.</w:t>
      </w:r>
      <w:r>
        <w:t xml:space="preserve">  </w:t>
      </w:r>
    </w:p>
    <w:p w14:paraId="51ECB6D7" w14:textId="6E7B8B03" w:rsidR="007168E5" w:rsidRDefault="007168E5" w:rsidP="00426A33">
      <w:pPr>
        <w:pStyle w:val="BodyText"/>
        <w:tabs>
          <w:tab w:val="left" w:pos="5228"/>
        </w:tabs>
      </w:pPr>
      <w:r>
        <w:t xml:space="preserve"> </w:t>
      </w:r>
      <w:r w:rsidR="00426A33">
        <w:tab/>
      </w:r>
    </w:p>
    <w:p w14:paraId="1ECCF69C" w14:textId="77777777" w:rsidR="00EB739C" w:rsidRDefault="00EB739C" w:rsidP="00EB739C">
      <w:pPr>
        <w:pStyle w:val="MemoHeading1"/>
      </w:pPr>
      <w:r>
        <w:t>Literature Review</w:t>
      </w:r>
    </w:p>
    <w:p w14:paraId="381D8F38" w14:textId="0F36DFCC" w:rsidR="00EB739C" w:rsidRDefault="00EB739C" w:rsidP="00EB739C">
      <w:pPr>
        <w:pStyle w:val="BodyText"/>
      </w:pPr>
      <w:proofErr w:type="spellStart"/>
      <w:r>
        <w:t>LimnoTech</w:t>
      </w:r>
      <w:proofErr w:type="spellEnd"/>
      <w:r>
        <w:t xml:space="preserve"> reviewed </w:t>
      </w:r>
      <w:r w:rsidR="00FD1475">
        <w:t>2</w:t>
      </w:r>
      <w:r w:rsidR="00426A33">
        <w:t>6</w:t>
      </w:r>
      <w:r w:rsidR="00FD1475">
        <w:t xml:space="preserve"> </w:t>
      </w:r>
      <w:r>
        <w:t xml:space="preserve">published articles, documents, and presentations to review interception capacity and annual tree performance (see reference section). Although the literature </w:t>
      </w:r>
      <w:proofErr w:type="gramStart"/>
      <w:r>
        <w:t>were</w:t>
      </w:r>
      <w:proofErr w:type="gramEnd"/>
      <w:r>
        <w:t xml:space="preserve"> similar in nature, the details and methods of each study varied. For example, some studies reported an average interception depth over a range of small rainfall events, while some focused exclusively on winter performance. While each study provided insight into the mechanism and effectiveness of interception, metadata from these studies was recorded so that a </w:t>
      </w:r>
      <w:proofErr w:type="spellStart"/>
      <w:r>
        <w:t>meta analysis</w:t>
      </w:r>
      <w:proofErr w:type="spellEnd"/>
      <w:r>
        <w:t xml:space="preserve"> could be conducted. </w:t>
      </w:r>
    </w:p>
    <w:p w14:paraId="610C3B4C" w14:textId="77777777" w:rsidR="00EB739C" w:rsidRDefault="00EB739C" w:rsidP="00EB739C">
      <w:pPr>
        <w:pStyle w:val="MemoHeading2"/>
      </w:pPr>
      <w:r>
        <w:t>Information Recorded</w:t>
      </w:r>
    </w:p>
    <w:p w14:paraId="2D4BB84A" w14:textId="1BFEC1DD" w:rsidR="00EB739C" w:rsidRDefault="00EB739C" w:rsidP="00EB739C">
      <w:pPr>
        <w:pStyle w:val="BodyText"/>
      </w:pPr>
      <w:r>
        <w:t xml:space="preserve">“Performance” was not always characterized by the same metric across studies. All performance values were considered essential information during this review, and the following metrics were </w:t>
      </w:r>
      <w:r w:rsidR="00267575">
        <w:t xml:space="preserve">commonly </w:t>
      </w:r>
      <w:r>
        <w:t>recorded:</w:t>
      </w:r>
    </w:p>
    <w:p w14:paraId="4CE9B504" w14:textId="77777777" w:rsidR="00EB739C" w:rsidRDefault="00EB739C" w:rsidP="00EB739C">
      <w:pPr>
        <w:pStyle w:val="BodyText"/>
        <w:numPr>
          <w:ilvl w:val="0"/>
          <w:numId w:val="2"/>
        </w:numPr>
      </w:pPr>
      <w:r>
        <w:t>Minimum observed interception</w:t>
      </w:r>
    </w:p>
    <w:p w14:paraId="3CD234E4" w14:textId="77777777" w:rsidR="00EB739C" w:rsidRDefault="00EB739C" w:rsidP="00EB739C">
      <w:pPr>
        <w:pStyle w:val="BodyText"/>
        <w:numPr>
          <w:ilvl w:val="0"/>
          <w:numId w:val="2"/>
        </w:numPr>
      </w:pPr>
      <w:r>
        <w:t xml:space="preserve">Maximum observed interception </w:t>
      </w:r>
    </w:p>
    <w:p w14:paraId="6743F1E2" w14:textId="0CA07194" w:rsidR="00EB739C" w:rsidRDefault="00EB739C" w:rsidP="00EB739C">
      <w:pPr>
        <w:pStyle w:val="BodyText"/>
        <w:numPr>
          <w:ilvl w:val="0"/>
          <w:numId w:val="2"/>
        </w:numPr>
      </w:pPr>
      <w:r>
        <w:t xml:space="preserve">Average and </w:t>
      </w:r>
      <w:r w:rsidR="00B5487B">
        <w:t xml:space="preserve">median </w:t>
      </w:r>
      <w:r>
        <w:t xml:space="preserve">interception </w:t>
      </w:r>
    </w:p>
    <w:p w14:paraId="34A349E3" w14:textId="77777777" w:rsidR="00EB739C" w:rsidRDefault="00EB739C" w:rsidP="00EB739C">
      <w:pPr>
        <w:pStyle w:val="BodyText"/>
        <w:numPr>
          <w:ilvl w:val="0"/>
          <w:numId w:val="2"/>
        </w:numPr>
      </w:pPr>
      <w:r>
        <w:t>Interception as a percent (%) of annual or long-term precipitation</w:t>
      </w:r>
    </w:p>
    <w:p w14:paraId="77565AAF" w14:textId="5355EEA3" w:rsidR="00EB739C" w:rsidRDefault="00EB739C" w:rsidP="00EB739C">
      <w:pPr>
        <w:pStyle w:val="BodyText"/>
      </w:pPr>
      <w:r>
        <w:t xml:space="preserve">The tree characteristics in the literature varied widely. Some studies were performed on mature trees while others focused on young trees. Similarly, some studies observed performance of isolated urban trees while others considered the full canopy of forest stands. This variability was </w:t>
      </w:r>
      <w:r w:rsidR="00CF3303">
        <w:t xml:space="preserve">often </w:t>
      </w:r>
      <w:r>
        <w:t>captured in the following characteristics</w:t>
      </w:r>
      <w:r w:rsidR="00CF3303">
        <w:t>, but not all studies recorded sufficient information to normalize for these factors</w:t>
      </w:r>
      <w:r>
        <w:t>:</w:t>
      </w:r>
    </w:p>
    <w:p w14:paraId="46E1E7E1" w14:textId="77777777" w:rsidR="00EB739C" w:rsidRDefault="00EB739C" w:rsidP="00EB739C">
      <w:pPr>
        <w:pStyle w:val="BodyText"/>
        <w:numPr>
          <w:ilvl w:val="0"/>
          <w:numId w:val="1"/>
        </w:numPr>
      </w:pPr>
      <w:r>
        <w:t xml:space="preserve">Genus, Species, and Common Name </w:t>
      </w:r>
    </w:p>
    <w:p w14:paraId="638989C3" w14:textId="77777777" w:rsidR="00EB739C" w:rsidRDefault="00EB739C" w:rsidP="00EB739C">
      <w:pPr>
        <w:pStyle w:val="BodyText"/>
        <w:numPr>
          <w:ilvl w:val="0"/>
          <w:numId w:val="1"/>
        </w:numPr>
      </w:pPr>
      <w:r>
        <w:t>Tree Type (Deciduous, Coniferous, Broadleaf Evergreen, and Mixed)</w:t>
      </w:r>
    </w:p>
    <w:p w14:paraId="2E76F4AD" w14:textId="77777777" w:rsidR="00EB739C" w:rsidRDefault="00EB739C" w:rsidP="00EB739C">
      <w:pPr>
        <w:pStyle w:val="BodyText"/>
        <w:numPr>
          <w:ilvl w:val="0"/>
          <w:numId w:val="1"/>
        </w:numPr>
      </w:pPr>
      <w:r>
        <w:t>Canopy Area and Canopy Diameter</w:t>
      </w:r>
    </w:p>
    <w:p w14:paraId="24956DD6" w14:textId="1BE844BE" w:rsidR="00EB739C" w:rsidRDefault="00EB739C" w:rsidP="00EB739C">
      <w:pPr>
        <w:pStyle w:val="BodyText"/>
        <w:numPr>
          <w:ilvl w:val="0"/>
          <w:numId w:val="1"/>
        </w:numPr>
      </w:pPr>
      <w:r>
        <w:t>Leaf Area and Leaf Area Index</w:t>
      </w:r>
      <w:r w:rsidR="00265F04">
        <w:t>, which is related to leaf area density and canopy height.</w:t>
      </w:r>
    </w:p>
    <w:p w14:paraId="13A36E2E" w14:textId="0EBE0774" w:rsidR="00EB739C" w:rsidRDefault="00EB739C" w:rsidP="00EB739C">
      <w:pPr>
        <w:pStyle w:val="BodyText"/>
        <w:numPr>
          <w:ilvl w:val="0"/>
          <w:numId w:val="1"/>
        </w:numPr>
      </w:pPr>
      <w:r>
        <w:t>Age of tree(s)</w:t>
      </w:r>
    </w:p>
    <w:p w14:paraId="7FC6A077" w14:textId="5A6B5DEB" w:rsidR="00EB739C" w:rsidRDefault="00EB739C" w:rsidP="00EB739C">
      <w:pPr>
        <w:pStyle w:val="BodyText"/>
      </w:pPr>
      <w:r>
        <w:t xml:space="preserve">Each study also had its own experimental and climatic characteristics. Some studies were performed in lab settings or with artificial rainfall, while others were in an open environment. The following metrics were </w:t>
      </w:r>
      <w:r w:rsidR="00267575">
        <w:t xml:space="preserve">generally </w:t>
      </w:r>
      <w:r>
        <w:t>recorded to capture this variability:</w:t>
      </w:r>
    </w:p>
    <w:p w14:paraId="0206F98F" w14:textId="77777777" w:rsidR="00EB739C" w:rsidRDefault="00EB739C" w:rsidP="00EB739C">
      <w:pPr>
        <w:pStyle w:val="BodyText"/>
        <w:numPr>
          <w:ilvl w:val="0"/>
          <w:numId w:val="1"/>
        </w:numPr>
      </w:pPr>
      <w:r>
        <w:t>Study Time Frame</w:t>
      </w:r>
    </w:p>
    <w:p w14:paraId="60A08E08" w14:textId="77777777" w:rsidR="00EB739C" w:rsidRDefault="00EB739C" w:rsidP="00EB739C">
      <w:pPr>
        <w:pStyle w:val="BodyText"/>
        <w:numPr>
          <w:ilvl w:val="0"/>
          <w:numId w:val="1"/>
        </w:numPr>
      </w:pPr>
      <w:r>
        <w:lastRenderedPageBreak/>
        <w:t>Study Region</w:t>
      </w:r>
    </w:p>
    <w:p w14:paraId="607DE4B4" w14:textId="0231E627" w:rsidR="00EB739C" w:rsidRDefault="00EB739C" w:rsidP="00EB739C">
      <w:pPr>
        <w:pStyle w:val="BodyText"/>
        <w:numPr>
          <w:ilvl w:val="0"/>
          <w:numId w:val="1"/>
        </w:numPr>
      </w:pPr>
      <w:r>
        <w:t>Study Type (artificial rainfall or field study)</w:t>
      </w:r>
    </w:p>
    <w:p w14:paraId="575A34DF" w14:textId="476A2CFE" w:rsidR="00267575" w:rsidRDefault="00267575" w:rsidP="00EB739C">
      <w:pPr>
        <w:pStyle w:val="BodyText"/>
        <w:numPr>
          <w:ilvl w:val="0"/>
          <w:numId w:val="1"/>
        </w:numPr>
      </w:pPr>
      <w:r>
        <w:t>Rainfall event size</w:t>
      </w:r>
      <w:r w:rsidR="00143016">
        <w:t xml:space="preserve"> or precipitation rate time series</w:t>
      </w:r>
    </w:p>
    <w:p w14:paraId="58BBB551" w14:textId="77777777" w:rsidR="00EB739C" w:rsidRDefault="00EB739C" w:rsidP="00EB739C">
      <w:pPr>
        <w:pStyle w:val="MemoHeading2"/>
      </w:pPr>
      <w:r>
        <w:t>Findings</w:t>
      </w:r>
    </w:p>
    <w:p w14:paraId="3427BBCB" w14:textId="5D522530" w:rsidR="00EB739C" w:rsidRDefault="00EB739C" w:rsidP="00EB739C">
      <w:pPr>
        <w:pStyle w:val="BodyText"/>
      </w:pPr>
      <w:r>
        <w:t>Rainfall interception</w:t>
      </w:r>
      <w:r w:rsidR="002E1EA3">
        <w:t xml:space="preserve"> –</w:t>
      </w:r>
      <w:r>
        <w:t xml:space="preserve"> the capture of precipitation on the foliage of trees before it hits the ground and contributes to runoff</w:t>
      </w:r>
      <w:r w:rsidR="002E1EA3">
        <w:t xml:space="preserve"> –</w:t>
      </w:r>
      <w:r>
        <w:t xml:space="preserve"> is </w:t>
      </w:r>
      <w:proofErr w:type="gramStart"/>
      <w:r>
        <w:t>fairly simple</w:t>
      </w:r>
      <w:proofErr w:type="gramEnd"/>
      <w:r>
        <w:t xml:space="preserve"> in concept but quite difficult to predict for a given event. </w:t>
      </w:r>
      <w:proofErr w:type="gramStart"/>
      <w:r>
        <w:t>Tree specific characteristics,</w:t>
      </w:r>
      <w:proofErr w:type="gramEnd"/>
      <w:r>
        <w:t xml:space="preserve"> notably leaf area index</w:t>
      </w:r>
      <w:r>
        <w:rPr>
          <w:rStyle w:val="FootnoteReference"/>
        </w:rPr>
        <w:footnoteReference w:id="1"/>
      </w:r>
      <w:r>
        <w:t xml:space="preserve">, influence a tree’s ability to capture precipitation for any rainfall event. There are a several well-cited models to predict interception based on tree characteristics. Some predict interception based on single factors, like the </w:t>
      </w:r>
      <w:r w:rsidR="005470A9">
        <w:t xml:space="preserve">Gomez </w:t>
      </w:r>
      <w:r>
        <w:t xml:space="preserve">model that empirically relates performance to LAI with moderate success (R2 = </w:t>
      </w:r>
      <w:r w:rsidR="005470A9">
        <w:t>0.76</w:t>
      </w:r>
      <w:r>
        <w:t xml:space="preserve">; </w:t>
      </w:r>
      <w:r w:rsidR="005470A9">
        <w:t>Gomez et al., 2001</w:t>
      </w:r>
      <w:r>
        <w:t xml:space="preserve">). Others, such as </w:t>
      </w:r>
      <w:r w:rsidR="005470A9">
        <w:t xml:space="preserve">Xiao model </w:t>
      </w:r>
      <w:r>
        <w:t xml:space="preserve">that incorporates </w:t>
      </w:r>
      <w:r w:rsidR="00087E8E">
        <w:t xml:space="preserve">a suite of canopy architecture metrics, such as </w:t>
      </w:r>
      <w:r w:rsidR="009006AC">
        <w:t xml:space="preserve">crown diameter, </w:t>
      </w:r>
      <w:r w:rsidR="00087E8E">
        <w:t xml:space="preserve">stem </w:t>
      </w:r>
      <w:r w:rsidR="009006AC">
        <w:t xml:space="preserve">diameter at breast height, stem projection area, </w:t>
      </w:r>
      <w:r w:rsidR="00087E8E">
        <w:t xml:space="preserve">seasonal vegetation development, </w:t>
      </w:r>
      <w:r w:rsidR="009006AC">
        <w:t>and other tree measurements</w:t>
      </w:r>
      <w:r w:rsidR="00087E8E">
        <w:t xml:space="preserve"> (Xiao, 2000)</w:t>
      </w:r>
      <w:r>
        <w:t xml:space="preserve">, are increasingly complex.  </w:t>
      </w:r>
    </w:p>
    <w:p w14:paraId="735C2CA4" w14:textId="6C7982EB" w:rsidR="00EB739C" w:rsidRDefault="00EB739C" w:rsidP="00EB739C">
      <w:pPr>
        <w:pStyle w:val="BodyText"/>
      </w:pPr>
      <w:r>
        <w:t>Storm specific characteristics also greatly influence interception during single events. Wind speed, time since last rainfall, and size of rainfall droplets are each noted in the literature as contributing factors. Gross precipitation is often a good predictor of total interception, although this is variable. Net interception increases with increasing gross precipitation while the proportion of interception decrease</w:t>
      </w:r>
      <w:r w:rsidR="009006AC">
        <w:t>.</w:t>
      </w:r>
      <w:r w:rsidR="00087E8E">
        <w:t xml:space="preserve"> </w:t>
      </w:r>
      <w:r>
        <w:t>Climates that have higher frequencies of extreme events tend to have less interception on annual basis (</w:t>
      </w:r>
      <w:proofErr w:type="spellStart"/>
      <w:r w:rsidR="009006AC">
        <w:t>Smets</w:t>
      </w:r>
      <w:proofErr w:type="spellEnd"/>
      <w:r w:rsidR="009006AC">
        <w:t xml:space="preserve"> et al. 2019</w:t>
      </w:r>
      <w:r>
        <w:t xml:space="preserve">). </w:t>
      </w:r>
    </w:p>
    <w:p w14:paraId="012F3C50" w14:textId="5EFBAEF9" w:rsidR="007168E5" w:rsidRDefault="007168E5" w:rsidP="007168E5">
      <w:pPr>
        <w:pStyle w:val="MemoHeading1"/>
      </w:pPr>
      <w:r>
        <w:t>Meta-</w:t>
      </w:r>
      <w:r w:rsidR="007357F0">
        <w:t>Analysis</w:t>
      </w:r>
    </w:p>
    <w:p w14:paraId="78747F63" w14:textId="3369899D" w:rsidR="003A08D7" w:rsidRPr="003A08D7" w:rsidRDefault="003A08D7" w:rsidP="003A08D7">
      <w:pPr>
        <w:pStyle w:val="BodyText"/>
      </w:pPr>
      <w:r>
        <w:t xml:space="preserve">The literature review included </w:t>
      </w:r>
      <w:r w:rsidR="00FD1475">
        <w:t>2</w:t>
      </w:r>
      <w:r w:rsidR="00426A33">
        <w:t>6</w:t>
      </w:r>
      <w:r w:rsidR="00FD1475">
        <w:t xml:space="preserve"> </w:t>
      </w:r>
      <w:r>
        <w:t xml:space="preserve">studies, which are shown in the Reference Section of the memorandum. The literature typically reported interception capacity as either an event-based interception depth expressed as inches of rain intercepted, or as an annual interception performance expressed as a percent of annual precipitation intercepted. </w:t>
      </w:r>
    </w:p>
    <w:p w14:paraId="628509B2" w14:textId="52BD4302" w:rsidR="00EB739C" w:rsidRPr="00EB739C" w:rsidRDefault="003A08D7" w:rsidP="00EB739C">
      <w:pPr>
        <w:pStyle w:val="MemoHeading2"/>
      </w:pPr>
      <w:r>
        <w:t xml:space="preserve">Event-Based Rainfall </w:t>
      </w:r>
      <w:r w:rsidR="00EB739C">
        <w:t>Interception Depth</w:t>
      </w:r>
    </w:p>
    <w:p w14:paraId="0C297340" w14:textId="5AE8AEF2" w:rsidR="007168E5" w:rsidRDefault="003A08D7" w:rsidP="007168E5">
      <w:pPr>
        <w:pStyle w:val="BodyText"/>
      </w:pPr>
      <w:proofErr w:type="spellStart"/>
      <w:r>
        <w:t>LimnoTech</w:t>
      </w:r>
      <w:proofErr w:type="spellEnd"/>
      <w:r>
        <w:t xml:space="preserve"> conducted a meta-analysis of reported interception depths for individual rainfall events, and calculated values are </w:t>
      </w:r>
      <w:r w:rsidR="004B64D3">
        <w:t xml:space="preserve">shown in </w:t>
      </w:r>
      <w:r w:rsidR="00594CE8">
        <w:t xml:space="preserve">Table 1. </w:t>
      </w:r>
      <w:r w:rsidR="000106F1">
        <w:t>The total range of reported interception depths was 0.02</w:t>
      </w:r>
      <w:r w:rsidR="004B64D3">
        <w:t xml:space="preserve"> inches to </w:t>
      </w:r>
      <w:r w:rsidR="000106F1">
        <w:t>0.46</w:t>
      </w:r>
      <w:r w:rsidR="004B64D3">
        <w:t xml:space="preserve"> inches</w:t>
      </w:r>
      <w:r w:rsidR="000106F1">
        <w:t xml:space="preserve">, however this included storage measured </w:t>
      </w:r>
      <w:r w:rsidR="004B64D3">
        <w:t>for</w:t>
      </w:r>
      <w:r w:rsidR="000106F1">
        <w:t xml:space="preserve"> very small </w:t>
      </w:r>
      <w:r w:rsidR="004B64D3">
        <w:t xml:space="preserve">rainfall </w:t>
      </w:r>
      <w:r w:rsidR="000106F1">
        <w:t>events</w:t>
      </w:r>
      <w:r w:rsidR="00CA4521">
        <w:t xml:space="preserve"> that functionally served as an upper limit to interception depth for that event</w:t>
      </w:r>
      <w:r w:rsidR="000106F1">
        <w:t xml:space="preserve">. </w:t>
      </w:r>
    </w:p>
    <w:p w14:paraId="6EDEADC9" w14:textId="6EA3B362" w:rsidR="00594CE8" w:rsidRDefault="000106F1" w:rsidP="007168E5">
      <w:pPr>
        <w:pStyle w:val="BodyText"/>
      </w:pPr>
      <w:r>
        <w:t>The meta-analysis of the reported values deviated from the conclusions made</w:t>
      </w:r>
      <w:r w:rsidR="003A08D7">
        <w:t xml:space="preserve"> by individual studies</w:t>
      </w:r>
      <w:r>
        <w:t xml:space="preserve">. For example, the average reported interception values for deciduous trees are larger in some cases than the equivalent </w:t>
      </w:r>
      <w:r w:rsidR="007357F0">
        <w:t>average</w:t>
      </w:r>
      <w:r>
        <w:t xml:space="preserve"> values for coniferous trees</w:t>
      </w:r>
      <w:r w:rsidR="00CA4521">
        <w:t>, which is likely due to differences in studied storm sizes among studies</w:t>
      </w:r>
      <w:r>
        <w:t>.</w:t>
      </w:r>
      <w:r w:rsidR="00E97390">
        <w:t xml:space="preserve"> This </w:t>
      </w:r>
      <w:proofErr w:type="gramStart"/>
      <w:r w:rsidR="00E97390">
        <w:t>is in conflict with</w:t>
      </w:r>
      <w:proofErr w:type="gramEnd"/>
      <w:r w:rsidR="00E97390">
        <w:t xml:space="preserve"> the findings from individual studies that showed coniferous trees had larger interception capacities.</w:t>
      </w:r>
      <w:r>
        <w:t xml:space="preserve"> Similarly, the mean reported values of some studies appeared to be higher than the maximums reported in others, </w:t>
      </w:r>
      <w:r w:rsidR="00CA4521">
        <w:t xml:space="preserve">also </w:t>
      </w:r>
      <w:r>
        <w:t xml:space="preserve">likely due to the size of rainfall events that were considered. Therefore, it was concluded that </w:t>
      </w:r>
      <w:r w:rsidR="003A08D7">
        <w:t xml:space="preserve">interception depths are </w:t>
      </w:r>
      <w:r>
        <w:t xml:space="preserve">difficult to compare globally across studies. </w:t>
      </w:r>
    </w:p>
    <w:p w14:paraId="6FBDD78E" w14:textId="77777777" w:rsidR="00973001" w:rsidRDefault="00973001" w:rsidP="007168E5">
      <w:pPr>
        <w:pStyle w:val="BodyText"/>
      </w:pPr>
    </w:p>
    <w:p w14:paraId="610343C4" w14:textId="77777777" w:rsidR="00594CE8" w:rsidRPr="00594CE8" w:rsidRDefault="00594CE8" w:rsidP="007168E5">
      <w:pPr>
        <w:pStyle w:val="BodyText"/>
        <w:rPr>
          <w:b/>
        </w:rPr>
      </w:pPr>
      <w:r w:rsidRPr="00594CE8">
        <w:rPr>
          <w:b/>
        </w:rPr>
        <w:lastRenderedPageBreak/>
        <w:t xml:space="preserve">Table 1: Meta-analysis of reported literature values  </w:t>
      </w:r>
    </w:p>
    <w:tbl>
      <w:tblPr>
        <w:tblStyle w:val="PlainTable2"/>
        <w:tblW w:w="8784" w:type="dxa"/>
        <w:tblLook w:val="04A0" w:firstRow="1" w:lastRow="0" w:firstColumn="1" w:lastColumn="0" w:noHBand="0" w:noVBand="1"/>
      </w:tblPr>
      <w:tblGrid>
        <w:gridCol w:w="1530"/>
        <w:gridCol w:w="1620"/>
        <w:gridCol w:w="1172"/>
        <w:gridCol w:w="1224"/>
        <w:gridCol w:w="3238"/>
      </w:tblGrid>
      <w:tr w:rsidR="009C3E33" w:rsidRPr="009C3E33" w14:paraId="0A97661E" w14:textId="77777777" w:rsidTr="00594CE8">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530" w:type="dxa"/>
            <w:vMerge w:val="restart"/>
          </w:tcPr>
          <w:p w14:paraId="554BA6AB" w14:textId="77777777" w:rsidR="009C3E33" w:rsidRPr="00594CE8" w:rsidRDefault="009C3E33" w:rsidP="00594CE8">
            <w:pPr>
              <w:rPr>
                <w:rFonts w:ascii="Calibri" w:hAnsi="Calibri" w:cs="Calibri"/>
                <w:bCs w:val="0"/>
                <w:color w:val="000000"/>
                <w:szCs w:val="22"/>
              </w:rPr>
            </w:pPr>
            <w:r w:rsidRPr="00594CE8">
              <w:rPr>
                <w:rFonts w:ascii="Calibri" w:hAnsi="Calibri" w:cs="Calibri"/>
                <w:bCs w:val="0"/>
                <w:color w:val="000000"/>
                <w:szCs w:val="22"/>
              </w:rPr>
              <w:t>Set</w:t>
            </w:r>
          </w:p>
        </w:tc>
        <w:tc>
          <w:tcPr>
            <w:tcW w:w="1620" w:type="dxa"/>
            <w:vMerge w:val="restart"/>
            <w:noWrap/>
            <w:hideMark/>
          </w:tcPr>
          <w:p w14:paraId="5245E09C" w14:textId="77777777" w:rsidR="009C3E33" w:rsidRPr="009C3E33" w:rsidRDefault="009C3E33" w:rsidP="00594CE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Metric</w:t>
            </w:r>
          </w:p>
        </w:tc>
        <w:tc>
          <w:tcPr>
            <w:tcW w:w="2396" w:type="dxa"/>
            <w:gridSpan w:val="2"/>
            <w:noWrap/>
            <w:hideMark/>
          </w:tcPr>
          <w:p w14:paraId="5DC6AF7D" w14:textId="77777777" w:rsidR="009C3E33" w:rsidRPr="009C3E33" w:rsidRDefault="009C3E33" w:rsidP="009C3E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Interception (inches)</w:t>
            </w:r>
          </w:p>
        </w:tc>
        <w:tc>
          <w:tcPr>
            <w:tcW w:w="3238" w:type="dxa"/>
            <w:vMerge w:val="restart"/>
            <w:noWrap/>
            <w:hideMark/>
          </w:tcPr>
          <w:p w14:paraId="2A47410D" w14:textId="77777777" w:rsidR="009C3E33" w:rsidRPr="009C3E33" w:rsidRDefault="009C3E33" w:rsidP="00594CE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Comment</w:t>
            </w:r>
          </w:p>
        </w:tc>
      </w:tr>
      <w:tr w:rsidR="009C3E33" w:rsidRPr="009C3E33" w14:paraId="37C8E039" w14:textId="77777777" w:rsidTr="00594CE8">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530" w:type="dxa"/>
            <w:vMerge/>
          </w:tcPr>
          <w:p w14:paraId="6D3550EE" w14:textId="77777777" w:rsidR="009C3E33" w:rsidRPr="009C3E33" w:rsidRDefault="009C3E33" w:rsidP="009C3E33">
            <w:pPr>
              <w:rPr>
                <w:rFonts w:ascii="Calibri" w:hAnsi="Calibri" w:cs="Calibri"/>
                <w:b w:val="0"/>
                <w:bCs w:val="0"/>
                <w:color w:val="000000"/>
                <w:szCs w:val="22"/>
              </w:rPr>
            </w:pPr>
          </w:p>
        </w:tc>
        <w:tc>
          <w:tcPr>
            <w:tcW w:w="1620" w:type="dxa"/>
            <w:vMerge/>
            <w:hideMark/>
          </w:tcPr>
          <w:p w14:paraId="316EB7F8" w14:textId="77777777" w:rsidR="009C3E33" w:rsidRPr="009C3E33" w:rsidRDefault="009C3E33" w:rsidP="009C3E3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2"/>
              </w:rPr>
            </w:pPr>
          </w:p>
        </w:tc>
        <w:tc>
          <w:tcPr>
            <w:tcW w:w="1172" w:type="dxa"/>
            <w:noWrap/>
            <w:hideMark/>
          </w:tcPr>
          <w:p w14:paraId="7F946228" w14:textId="77777777" w:rsidR="009C3E33" w:rsidRPr="009C3E33" w:rsidRDefault="009C3E33" w:rsidP="009C3E3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2"/>
              </w:rPr>
            </w:pPr>
            <w:r w:rsidRPr="009C3E33">
              <w:rPr>
                <w:rFonts w:ascii="Calibri" w:hAnsi="Calibri" w:cs="Calibri"/>
                <w:b/>
                <w:bCs/>
                <w:color w:val="000000"/>
                <w:szCs w:val="22"/>
              </w:rPr>
              <w:t>Deciduous</w:t>
            </w:r>
          </w:p>
        </w:tc>
        <w:tc>
          <w:tcPr>
            <w:tcW w:w="1224" w:type="dxa"/>
            <w:noWrap/>
            <w:hideMark/>
          </w:tcPr>
          <w:p w14:paraId="7A869A27" w14:textId="77777777" w:rsidR="009C3E33" w:rsidRPr="009C3E33" w:rsidRDefault="009C3E33" w:rsidP="009C3E3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2"/>
              </w:rPr>
            </w:pPr>
            <w:r w:rsidRPr="009C3E33">
              <w:rPr>
                <w:rFonts w:ascii="Calibri" w:hAnsi="Calibri" w:cs="Calibri"/>
                <w:b/>
                <w:bCs/>
                <w:color w:val="000000"/>
                <w:szCs w:val="22"/>
              </w:rPr>
              <w:t>Coniferous</w:t>
            </w:r>
          </w:p>
        </w:tc>
        <w:tc>
          <w:tcPr>
            <w:tcW w:w="3238" w:type="dxa"/>
            <w:vMerge/>
            <w:hideMark/>
          </w:tcPr>
          <w:p w14:paraId="18D4D3AA" w14:textId="77777777" w:rsidR="009C3E33" w:rsidRPr="009C3E33" w:rsidRDefault="009C3E33" w:rsidP="009C3E3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2"/>
              </w:rPr>
            </w:pPr>
          </w:p>
        </w:tc>
      </w:tr>
      <w:tr w:rsidR="009C3E33" w:rsidRPr="009C3E33" w14:paraId="4B049AD1" w14:textId="77777777" w:rsidTr="00E97390">
        <w:trPr>
          <w:trHeight w:val="998"/>
        </w:trPr>
        <w:tc>
          <w:tcPr>
            <w:cnfStyle w:val="001000000000" w:firstRow="0" w:lastRow="0" w:firstColumn="1" w:lastColumn="0" w:oddVBand="0" w:evenVBand="0" w:oddHBand="0" w:evenHBand="0" w:firstRowFirstColumn="0" w:firstRowLastColumn="0" w:lastRowFirstColumn="0" w:lastRowLastColumn="0"/>
            <w:tcW w:w="1530" w:type="dxa"/>
          </w:tcPr>
          <w:p w14:paraId="304EBEC7" w14:textId="64D59746" w:rsidR="009C3E33" w:rsidRPr="009C3E33" w:rsidRDefault="00E97390" w:rsidP="009C3E33">
            <w:pPr>
              <w:rPr>
                <w:rFonts w:ascii="Calibri" w:hAnsi="Calibri" w:cs="Calibri"/>
                <w:color w:val="000000"/>
                <w:szCs w:val="22"/>
              </w:rPr>
            </w:pPr>
            <w:r>
              <w:rPr>
                <w:rFonts w:ascii="Calibri" w:hAnsi="Calibri" w:cs="Calibri"/>
                <w:color w:val="000000"/>
                <w:szCs w:val="22"/>
              </w:rPr>
              <w:t xml:space="preserve">Average of </w:t>
            </w:r>
            <w:r w:rsidR="009C3E33">
              <w:rPr>
                <w:rFonts w:ascii="Calibri" w:hAnsi="Calibri" w:cs="Calibri"/>
                <w:color w:val="000000"/>
                <w:szCs w:val="22"/>
              </w:rPr>
              <w:t>All data</w:t>
            </w:r>
          </w:p>
        </w:tc>
        <w:tc>
          <w:tcPr>
            <w:tcW w:w="1620" w:type="dxa"/>
            <w:noWrap/>
            <w:hideMark/>
          </w:tcPr>
          <w:p w14:paraId="57F9AA7D" w14:textId="77777777" w:rsidR="009C3E33" w:rsidRPr="009C3E33" w:rsidRDefault="009C3E33" w:rsidP="009C3E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Interception Minimum</w:t>
            </w:r>
            <w:r w:rsidRPr="009C3E33">
              <w:rPr>
                <w:rFonts w:ascii="Calibri" w:hAnsi="Calibri" w:cs="Calibri"/>
                <w:color w:val="000000"/>
                <w:szCs w:val="22"/>
                <w:vertAlign w:val="superscript"/>
              </w:rPr>
              <w:t>1</w:t>
            </w:r>
            <w:r>
              <w:rPr>
                <w:rFonts w:ascii="Calibri" w:hAnsi="Calibri" w:cs="Calibri"/>
                <w:color w:val="000000"/>
                <w:szCs w:val="22"/>
              </w:rPr>
              <w:t xml:space="preserve"> </w:t>
            </w:r>
          </w:p>
        </w:tc>
        <w:tc>
          <w:tcPr>
            <w:tcW w:w="1172" w:type="dxa"/>
            <w:noWrap/>
            <w:hideMark/>
          </w:tcPr>
          <w:p w14:paraId="200E6138" w14:textId="77777777" w:rsidR="009C3E33" w:rsidRPr="009C3E33" w:rsidRDefault="009C3E33" w:rsidP="00594CE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0.015</w:t>
            </w:r>
          </w:p>
        </w:tc>
        <w:tc>
          <w:tcPr>
            <w:tcW w:w="1224" w:type="dxa"/>
            <w:noWrap/>
            <w:hideMark/>
          </w:tcPr>
          <w:p w14:paraId="62B452B8" w14:textId="77777777" w:rsidR="009C3E33" w:rsidRPr="009C3E33" w:rsidRDefault="009C3E33" w:rsidP="00594CE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0.017</w:t>
            </w:r>
          </w:p>
        </w:tc>
        <w:tc>
          <w:tcPr>
            <w:tcW w:w="3238" w:type="dxa"/>
            <w:vMerge w:val="restart"/>
            <w:hideMark/>
          </w:tcPr>
          <w:p w14:paraId="3AD65195" w14:textId="0643BE20" w:rsidR="009C3E33" w:rsidRPr="00E97390" w:rsidRDefault="009C3E33" w:rsidP="00E9739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E97390">
              <w:rPr>
                <w:rFonts w:ascii="Calibri" w:hAnsi="Calibri" w:cs="Calibri"/>
                <w:color w:val="000000"/>
                <w:sz w:val="20"/>
              </w:rPr>
              <w:t xml:space="preserve">Individual studies show that coniferous trees have higher storage capacities than deciduous trees, but the average of the data taken from the literature do not reflect this observation. </w:t>
            </w:r>
            <w:r w:rsidR="00E97390" w:rsidRPr="00E97390">
              <w:rPr>
                <w:rFonts w:ascii="Calibri" w:hAnsi="Calibri" w:cs="Calibri"/>
                <w:color w:val="000000"/>
                <w:sz w:val="20"/>
              </w:rPr>
              <w:t xml:space="preserve">The reported means from several studies were higher than the reported maximums from others, which is why the average maximum (0.109”) is less than the average of reported mean interception (0.138”). </w:t>
            </w:r>
          </w:p>
        </w:tc>
      </w:tr>
      <w:tr w:rsidR="009C3E33" w:rsidRPr="009C3E33" w14:paraId="69DE2A27" w14:textId="77777777" w:rsidTr="00E97390">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1530" w:type="dxa"/>
          </w:tcPr>
          <w:p w14:paraId="0AB42E07" w14:textId="6016F323" w:rsidR="009C3E33" w:rsidRPr="009C3E33" w:rsidRDefault="00E97390" w:rsidP="009C3E33">
            <w:pPr>
              <w:rPr>
                <w:rFonts w:ascii="Calibri" w:hAnsi="Calibri" w:cs="Calibri"/>
                <w:color w:val="000000"/>
                <w:szCs w:val="22"/>
              </w:rPr>
            </w:pPr>
            <w:r>
              <w:rPr>
                <w:rFonts w:ascii="Calibri" w:hAnsi="Calibri" w:cs="Calibri"/>
                <w:color w:val="000000"/>
                <w:szCs w:val="22"/>
              </w:rPr>
              <w:t xml:space="preserve">Average of </w:t>
            </w:r>
            <w:r w:rsidR="009C3E33">
              <w:rPr>
                <w:rFonts w:ascii="Calibri" w:hAnsi="Calibri" w:cs="Calibri"/>
                <w:color w:val="000000"/>
                <w:szCs w:val="22"/>
              </w:rPr>
              <w:t>All data</w:t>
            </w:r>
          </w:p>
        </w:tc>
        <w:tc>
          <w:tcPr>
            <w:tcW w:w="1620" w:type="dxa"/>
            <w:noWrap/>
            <w:hideMark/>
          </w:tcPr>
          <w:p w14:paraId="3D567DD0" w14:textId="77777777" w:rsidR="009C3E33" w:rsidRPr="009C3E33" w:rsidRDefault="009C3E33" w:rsidP="009C3E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Interception Maximum</w:t>
            </w:r>
            <w:r w:rsidRPr="009C3E33">
              <w:rPr>
                <w:rFonts w:ascii="Calibri" w:hAnsi="Calibri" w:cs="Calibri"/>
                <w:color w:val="000000"/>
                <w:szCs w:val="22"/>
                <w:vertAlign w:val="superscript"/>
              </w:rPr>
              <w:t>1</w:t>
            </w:r>
          </w:p>
        </w:tc>
        <w:tc>
          <w:tcPr>
            <w:tcW w:w="1172" w:type="dxa"/>
            <w:noWrap/>
            <w:hideMark/>
          </w:tcPr>
          <w:p w14:paraId="3A25620A" w14:textId="77777777" w:rsidR="009C3E33" w:rsidRPr="009C3E33" w:rsidRDefault="009C3E33" w:rsidP="00594CE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0.109</w:t>
            </w:r>
          </w:p>
        </w:tc>
        <w:tc>
          <w:tcPr>
            <w:tcW w:w="1224" w:type="dxa"/>
            <w:noWrap/>
            <w:hideMark/>
          </w:tcPr>
          <w:p w14:paraId="472EEC6E" w14:textId="77777777" w:rsidR="009C3E33" w:rsidRPr="009C3E33" w:rsidRDefault="009C3E33" w:rsidP="00594CE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0.081</w:t>
            </w:r>
          </w:p>
        </w:tc>
        <w:tc>
          <w:tcPr>
            <w:tcW w:w="3238" w:type="dxa"/>
            <w:vMerge/>
            <w:hideMark/>
          </w:tcPr>
          <w:p w14:paraId="6E3106C8" w14:textId="77777777" w:rsidR="009C3E33" w:rsidRPr="00426A33" w:rsidRDefault="009C3E33" w:rsidP="009C3E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r>
      <w:tr w:rsidR="009C3E33" w:rsidRPr="009C3E33" w14:paraId="725ADD6E" w14:textId="77777777" w:rsidTr="00594CE8">
        <w:trPr>
          <w:trHeight w:val="285"/>
        </w:trPr>
        <w:tc>
          <w:tcPr>
            <w:cnfStyle w:val="001000000000" w:firstRow="0" w:lastRow="0" w:firstColumn="1" w:lastColumn="0" w:oddVBand="0" w:evenVBand="0" w:oddHBand="0" w:evenHBand="0" w:firstRowFirstColumn="0" w:firstRowLastColumn="0" w:lastRowFirstColumn="0" w:lastRowLastColumn="0"/>
            <w:tcW w:w="1530" w:type="dxa"/>
          </w:tcPr>
          <w:p w14:paraId="0B0411FB" w14:textId="6B7A653F" w:rsidR="009C3E33" w:rsidRPr="009C3E33" w:rsidRDefault="00E97390" w:rsidP="009C3E33">
            <w:pPr>
              <w:rPr>
                <w:rFonts w:ascii="Calibri" w:hAnsi="Calibri" w:cs="Calibri"/>
                <w:color w:val="000000"/>
                <w:szCs w:val="22"/>
              </w:rPr>
            </w:pPr>
            <w:r>
              <w:rPr>
                <w:rFonts w:ascii="Calibri" w:hAnsi="Calibri" w:cs="Calibri"/>
                <w:color w:val="000000"/>
                <w:szCs w:val="22"/>
              </w:rPr>
              <w:t xml:space="preserve">Average of </w:t>
            </w:r>
            <w:r w:rsidR="009C3E33">
              <w:rPr>
                <w:rFonts w:ascii="Calibri" w:hAnsi="Calibri" w:cs="Calibri"/>
                <w:color w:val="000000"/>
                <w:szCs w:val="22"/>
              </w:rPr>
              <w:t>All data</w:t>
            </w:r>
          </w:p>
        </w:tc>
        <w:tc>
          <w:tcPr>
            <w:tcW w:w="1620" w:type="dxa"/>
            <w:noWrap/>
            <w:hideMark/>
          </w:tcPr>
          <w:p w14:paraId="36328EAB" w14:textId="77777777" w:rsidR="009C3E33" w:rsidRPr="009C3E33" w:rsidRDefault="009C3E33" w:rsidP="009C3E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Interception Mean</w:t>
            </w:r>
            <w:r w:rsidRPr="009C3E33">
              <w:rPr>
                <w:rFonts w:ascii="Calibri" w:hAnsi="Calibri" w:cs="Calibri"/>
                <w:color w:val="000000"/>
                <w:szCs w:val="22"/>
                <w:vertAlign w:val="superscript"/>
              </w:rPr>
              <w:t>1</w:t>
            </w:r>
          </w:p>
        </w:tc>
        <w:tc>
          <w:tcPr>
            <w:tcW w:w="1172" w:type="dxa"/>
            <w:noWrap/>
            <w:hideMark/>
          </w:tcPr>
          <w:p w14:paraId="4C9810B5" w14:textId="77777777" w:rsidR="009C3E33" w:rsidRPr="009C3E33" w:rsidRDefault="009C3E33" w:rsidP="00594CE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0.138</w:t>
            </w:r>
          </w:p>
        </w:tc>
        <w:tc>
          <w:tcPr>
            <w:tcW w:w="1224" w:type="dxa"/>
            <w:noWrap/>
            <w:hideMark/>
          </w:tcPr>
          <w:p w14:paraId="00C5E0C0" w14:textId="77777777" w:rsidR="009C3E33" w:rsidRPr="009C3E33" w:rsidRDefault="009C3E33" w:rsidP="00594CE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0.077</w:t>
            </w:r>
          </w:p>
        </w:tc>
        <w:tc>
          <w:tcPr>
            <w:tcW w:w="3238" w:type="dxa"/>
            <w:vMerge/>
            <w:hideMark/>
          </w:tcPr>
          <w:p w14:paraId="424BD5EE" w14:textId="77777777" w:rsidR="009C3E33" w:rsidRPr="00426A33" w:rsidRDefault="009C3E33" w:rsidP="009C3E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p>
        </w:tc>
      </w:tr>
      <w:tr w:rsidR="009C3E33" w:rsidRPr="009C3E33" w14:paraId="04DFD7F9" w14:textId="77777777" w:rsidTr="00594CE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30" w:type="dxa"/>
          </w:tcPr>
          <w:p w14:paraId="22EDC5B1" w14:textId="518B126E" w:rsidR="009C3E33" w:rsidRPr="009C3E33" w:rsidRDefault="00E97390" w:rsidP="009C3E33">
            <w:pPr>
              <w:rPr>
                <w:rFonts w:ascii="Calibri" w:hAnsi="Calibri" w:cs="Calibri"/>
                <w:color w:val="000000"/>
                <w:szCs w:val="22"/>
              </w:rPr>
            </w:pPr>
            <w:r>
              <w:rPr>
                <w:rFonts w:ascii="Calibri" w:hAnsi="Calibri" w:cs="Calibri"/>
                <w:color w:val="000000"/>
                <w:szCs w:val="22"/>
              </w:rPr>
              <w:t xml:space="preserve">Average of </w:t>
            </w:r>
            <w:proofErr w:type="gramStart"/>
            <w:r w:rsidR="00594CE8">
              <w:rPr>
                <w:rFonts w:ascii="Calibri" w:hAnsi="Calibri" w:cs="Calibri"/>
                <w:color w:val="000000"/>
                <w:szCs w:val="22"/>
              </w:rPr>
              <w:t>Locally-relevant</w:t>
            </w:r>
            <w:proofErr w:type="gramEnd"/>
            <w:r w:rsidR="00594CE8">
              <w:rPr>
                <w:rFonts w:ascii="Calibri" w:hAnsi="Calibri" w:cs="Calibri"/>
                <w:color w:val="000000"/>
                <w:szCs w:val="22"/>
              </w:rPr>
              <w:t xml:space="preserve"> data</w:t>
            </w:r>
          </w:p>
        </w:tc>
        <w:tc>
          <w:tcPr>
            <w:tcW w:w="1620" w:type="dxa"/>
            <w:noWrap/>
            <w:hideMark/>
          </w:tcPr>
          <w:p w14:paraId="16C5CD2D" w14:textId="77777777" w:rsidR="009C3E33" w:rsidRPr="009C3E33" w:rsidRDefault="009C3E33" w:rsidP="009C3E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Interception Minimum</w:t>
            </w:r>
            <w:r w:rsidRPr="009C3E33">
              <w:rPr>
                <w:rFonts w:ascii="Calibri" w:hAnsi="Calibri" w:cs="Calibri"/>
                <w:color w:val="000000"/>
                <w:szCs w:val="22"/>
                <w:vertAlign w:val="superscript"/>
              </w:rPr>
              <w:t>1</w:t>
            </w:r>
          </w:p>
        </w:tc>
        <w:tc>
          <w:tcPr>
            <w:tcW w:w="1172" w:type="dxa"/>
            <w:noWrap/>
            <w:hideMark/>
          </w:tcPr>
          <w:p w14:paraId="3D5D01D4" w14:textId="77777777" w:rsidR="009C3E33" w:rsidRPr="009C3E33" w:rsidRDefault="009C3E33" w:rsidP="00594CE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0.015</w:t>
            </w:r>
          </w:p>
        </w:tc>
        <w:tc>
          <w:tcPr>
            <w:tcW w:w="1224" w:type="dxa"/>
            <w:noWrap/>
            <w:hideMark/>
          </w:tcPr>
          <w:p w14:paraId="341BEA9F" w14:textId="77777777" w:rsidR="009C3E33" w:rsidRPr="009C3E33" w:rsidRDefault="009C3E33" w:rsidP="00594CE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0.017</w:t>
            </w:r>
          </w:p>
        </w:tc>
        <w:tc>
          <w:tcPr>
            <w:tcW w:w="3238" w:type="dxa"/>
            <w:vMerge w:val="restart"/>
            <w:hideMark/>
          </w:tcPr>
          <w:p w14:paraId="2E04AFFA" w14:textId="77777777" w:rsidR="009C3E33" w:rsidRPr="00E97390" w:rsidRDefault="00594CE8" w:rsidP="00594CE8">
            <w:pPr>
              <w:tabs>
                <w:tab w:val="left" w:pos="355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E97390">
              <w:rPr>
                <w:rFonts w:ascii="Calibri" w:hAnsi="Calibri" w:cs="Calibri"/>
                <w:color w:val="000000"/>
                <w:sz w:val="20"/>
              </w:rPr>
              <w:t xml:space="preserve">The means interception values from some studies are higher than the maximums from others. This is possible due to the range of event sizes that were observed in the respective studies. </w:t>
            </w:r>
          </w:p>
        </w:tc>
      </w:tr>
      <w:tr w:rsidR="009C3E33" w:rsidRPr="009C3E33" w14:paraId="00D17BA9" w14:textId="77777777" w:rsidTr="00594CE8">
        <w:trPr>
          <w:trHeight w:val="285"/>
        </w:trPr>
        <w:tc>
          <w:tcPr>
            <w:cnfStyle w:val="001000000000" w:firstRow="0" w:lastRow="0" w:firstColumn="1" w:lastColumn="0" w:oddVBand="0" w:evenVBand="0" w:oddHBand="0" w:evenHBand="0" w:firstRowFirstColumn="0" w:firstRowLastColumn="0" w:lastRowFirstColumn="0" w:lastRowLastColumn="0"/>
            <w:tcW w:w="1530" w:type="dxa"/>
          </w:tcPr>
          <w:p w14:paraId="1A6D303E" w14:textId="5F4ED934" w:rsidR="009C3E33" w:rsidRPr="009C3E33" w:rsidRDefault="00E97390" w:rsidP="009C3E33">
            <w:pPr>
              <w:rPr>
                <w:rFonts w:ascii="Calibri" w:hAnsi="Calibri" w:cs="Calibri"/>
                <w:color w:val="000000"/>
                <w:szCs w:val="22"/>
              </w:rPr>
            </w:pPr>
            <w:r>
              <w:rPr>
                <w:rFonts w:ascii="Calibri" w:hAnsi="Calibri" w:cs="Calibri"/>
                <w:color w:val="000000"/>
                <w:szCs w:val="22"/>
              </w:rPr>
              <w:t xml:space="preserve">Average of </w:t>
            </w:r>
            <w:proofErr w:type="gramStart"/>
            <w:r w:rsidR="00594CE8">
              <w:rPr>
                <w:rFonts w:ascii="Calibri" w:hAnsi="Calibri" w:cs="Calibri"/>
                <w:color w:val="000000"/>
                <w:szCs w:val="22"/>
              </w:rPr>
              <w:t>Locally-relevant</w:t>
            </w:r>
            <w:proofErr w:type="gramEnd"/>
            <w:r w:rsidR="00594CE8">
              <w:rPr>
                <w:rFonts w:ascii="Calibri" w:hAnsi="Calibri" w:cs="Calibri"/>
                <w:color w:val="000000"/>
                <w:szCs w:val="22"/>
              </w:rPr>
              <w:t xml:space="preserve"> data</w:t>
            </w:r>
          </w:p>
        </w:tc>
        <w:tc>
          <w:tcPr>
            <w:tcW w:w="1620" w:type="dxa"/>
            <w:noWrap/>
            <w:hideMark/>
          </w:tcPr>
          <w:p w14:paraId="69E08A9F" w14:textId="77777777" w:rsidR="009C3E33" w:rsidRPr="009C3E33" w:rsidRDefault="009C3E33" w:rsidP="009C3E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Interception Maximum</w:t>
            </w:r>
            <w:r w:rsidRPr="009C3E33">
              <w:rPr>
                <w:rFonts w:ascii="Calibri" w:hAnsi="Calibri" w:cs="Calibri"/>
                <w:color w:val="000000"/>
                <w:szCs w:val="22"/>
                <w:vertAlign w:val="superscript"/>
              </w:rPr>
              <w:t>1</w:t>
            </w:r>
          </w:p>
        </w:tc>
        <w:tc>
          <w:tcPr>
            <w:tcW w:w="1172" w:type="dxa"/>
            <w:noWrap/>
            <w:hideMark/>
          </w:tcPr>
          <w:p w14:paraId="6632D644" w14:textId="77777777" w:rsidR="009C3E33" w:rsidRPr="009C3E33" w:rsidRDefault="009C3E33" w:rsidP="00594CE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0.109</w:t>
            </w:r>
          </w:p>
        </w:tc>
        <w:tc>
          <w:tcPr>
            <w:tcW w:w="1224" w:type="dxa"/>
            <w:noWrap/>
            <w:hideMark/>
          </w:tcPr>
          <w:p w14:paraId="4752ED1B" w14:textId="77777777" w:rsidR="009C3E33" w:rsidRPr="009C3E33" w:rsidRDefault="009C3E33" w:rsidP="00594CE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0.081</w:t>
            </w:r>
          </w:p>
        </w:tc>
        <w:tc>
          <w:tcPr>
            <w:tcW w:w="3238" w:type="dxa"/>
            <w:vMerge/>
            <w:hideMark/>
          </w:tcPr>
          <w:p w14:paraId="535F0F0E" w14:textId="77777777" w:rsidR="009C3E33" w:rsidRPr="009C3E33" w:rsidRDefault="009C3E33" w:rsidP="009C3E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r>
      <w:tr w:rsidR="009C3E33" w:rsidRPr="009C3E33" w14:paraId="1FEDC8B0" w14:textId="77777777" w:rsidTr="00594CE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30" w:type="dxa"/>
          </w:tcPr>
          <w:p w14:paraId="7F81A143" w14:textId="6EEF9886" w:rsidR="009C3E33" w:rsidRPr="009C3E33" w:rsidRDefault="00E97390" w:rsidP="009C3E33">
            <w:pPr>
              <w:rPr>
                <w:rFonts w:ascii="Calibri" w:hAnsi="Calibri" w:cs="Calibri"/>
                <w:color w:val="000000"/>
                <w:szCs w:val="22"/>
              </w:rPr>
            </w:pPr>
            <w:r>
              <w:rPr>
                <w:rFonts w:ascii="Calibri" w:hAnsi="Calibri" w:cs="Calibri"/>
                <w:color w:val="000000"/>
                <w:szCs w:val="22"/>
              </w:rPr>
              <w:t xml:space="preserve">Average of </w:t>
            </w:r>
            <w:proofErr w:type="gramStart"/>
            <w:r w:rsidR="00594CE8">
              <w:rPr>
                <w:rFonts w:ascii="Calibri" w:hAnsi="Calibri" w:cs="Calibri"/>
                <w:color w:val="000000"/>
                <w:szCs w:val="22"/>
              </w:rPr>
              <w:t>Locally-relevant</w:t>
            </w:r>
            <w:proofErr w:type="gramEnd"/>
            <w:r w:rsidR="00594CE8">
              <w:rPr>
                <w:rFonts w:ascii="Calibri" w:hAnsi="Calibri" w:cs="Calibri"/>
                <w:color w:val="000000"/>
                <w:szCs w:val="22"/>
              </w:rPr>
              <w:t xml:space="preserve"> data</w:t>
            </w:r>
          </w:p>
        </w:tc>
        <w:tc>
          <w:tcPr>
            <w:tcW w:w="1620" w:type="dxa"/>
            <w:noWrap/>
            <w:hideMark/>
          </w:tcPr>
          <w:p w14:paraId="2B148140" w14:textId="77777777" w:rsidR="009C3E33" w:rsidRPr="009C3E33" w:rsidRDefault="009C3E33" w:rsidP="009C3E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Interception Mean</w:t>
            </w:r>
            <w:r w:rsidRPr="009C3E33">
              <w:rPr>
                <w:rFonts w:ascii="Calibri" w:hAnsi="Calibri" w:cs="Calibri"/>
                <w:color w:val="000000"/>
                <w:szCs w:val="22"/>
                <w:vertAlign w:val="superscript"/>
              </w:rPr>
              <w:t>1</w:t>
            </w:r>
          </w:p>
        </w:tc>
        <w:tc>
          <w:tcPr>
            <w:tcW w:w="1172" w:type="dxa"/>
            <w:noWrap/>
            <w:hideMark/>
          </w:tcPr>
          <w:p w14:paraId="4CAF47A5" w14:textId="77777777" w:rsidR="009C3E33" w:rsidRPr="009C3E33" w:rsidRDefault="009C3E33" w:rsidP="00594CE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0.086</w:t>
            </w:r>
          </w:p>
        </w:tc>
        <w:tc>
          <w:tcPr>
            <w:tcW w:w="1224" w:type="dxa"/>
            <w:noWrap/>
            <w:hideMark/>
          </w:tcPr>
          <w:p w14:paraId="7B5C6525" w14:textId="77777777" w:rsidR="009C3E33" w:rsidRPr="009C3E33" w:rsidRDefault="009C3E33" w:rsidP="00594CE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9C3E33">
              <w:rPr>
                <w:rFonts w:ascii="Calibri" w:hAnsi="Calibri" w:cs="Calibri"/>
                <w:color w:val="000000"/>
                <w:szCs w:val="22"/>
              </w:rPr>
              <w:t>0.120</w:t>
            </w:r>
          </w:p>
        </w:tc>
        <w:tc>
          <w:tcPr>
            <w:tcW w:w="3238" w:type="dxa"/>
            <w:vMerge/>
            <w:hideMark/>
          </w:tcPr>
          <w:p w14:paraId="22A14556" w14:textId="77777777" w:rsidR="009C3E33" w:rsidRPr="009C3E33" w:rsidRDefault="009C3E33" w:rsidP="009C3E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r>
    </w:tbl>
    <w:p w14:paraId="1F5E1499" w14:textId="77777777" w:rsidR="009C3E33" w:rsidRDefault="009C3E33" w:rsidP="00594CE8">
      <w:pPr>
        <w:pStyle w:val="BodyText"/>
        <w:spacing w:before="0" w:after="0"/>
        <w:rPr>
          <w:rFonts w:ascii="Calibri" w:hAnsi="Calibri" w:cs="Calibri"/>
          <w:color w:val="000000"/>
          <w:szCs w:val="22"/>
        </w:rPr>
      </w:pPr>
      <w:r w:rsidRPr="009C3E33">
        <w:rPr>
          <w:rFonts w:ascii="Calibri" w:hAnsi="Calibri" w:cs="Calibri"/>
          <w:color w:val="000000"/>
          <w:szCs w:val="22"/>
          <w:vertAlign w:val="superscript"/>
        </w:rPr>
        <w:t>1</w:t>
      </w:r>
      <w:r w:rsidR="00594CE8">
        <w:rPr>
          <w:rFonts w:ascii="Calibri" w:hAnsi="Calibri" w:cs="Calibri"/>
          <w:color w:val="000000"/>
          <w:szCs w:val="22"/>
        </w:rPr>
        <w:t>Average of values recorded from literature review</w:t>
      </w:r>
      <w:r>
        <w:rPr>
          <w:rFonts w:ascii="Calibri" w:hAnsi="Calibri" w:cs="Calibri"/>
          <w:color w:val="000000"/>
          <w:szCs w:val="22"/>
        </w:rPr>
        <w:t xml:space="preserve">. </w:t>
      </w:r>
    </w:p>
    <w:p w14:paraId="022D4FA6" w14:textId="31B278B0" w:rsidR="003A08D7" w:rsidRPr="00EB739C" w:rsidRDefault="003A08D7" w:rsidP="003A08D7">
      <w:pPr>
        <w:pStyle w:val="MemoHeading2"/>
      </w:pPr>
      <w:r>
        <w:t>Annual Rainfall Interception Performance</w:t>
      </w:r>
    </w:p>
    <w:p w14:paraId="38FDFA5C" w14:textId="2B8C654A" w:rsidR="003A08D7" w:rsidRDefault="003A08D7" w:rsidP="007168E5">
      <w:pPr>
        <w:pStyle w:val="BodyText"/>
      </w:pPr>
      <w:proofErr w:type="spellStart"/>
      <w:r>
        <w:t>LimnoTech</w:t>
      </w:r>
      <w:proofErr w:type="spellEnd"/>
      <w:r>
        <w:t xml:space="preserve"> conducted a meta-analysis of reported annual or long-term rainfall interception performance. </w:t>
      </w:r>
      <w:r w:rsidR="00CB485E">
        <w:t xml:space="preserve">A total of 14 annual percent interception values that represented mature trees from similar climates were reported out of the </w:t>
      </w:r>
      <w:r w:rsidR="00FD1475">
        <w:t>2</w:t>
      </w:r>
      <w:r w:rsidR="00426A33">
        <w:t>6</w:t>
      </w:r>
      <w:r w:rsidR="00FD1475">
        <w:t xml:space="preserve"> </w:t>
      </w:r>
      <w:r w:rsidR="00CB485E">
        <w:t xml:space="preserve">studies. The annual performance ranged from </w:t>
      </w:r>
      <w:r w:rsidR="00B5487B">
        <w:t>1</w:t>
      </w:r>
      <w:r w:rsidR="00CB485E">
        <w:t xml:space="preserve">4% to 75% of total rainfall intercepted. Seven of the 14 values described coniferous species while seven described deciduous species. The average annual performance was </w:t>
      </w:r>
      <w:r w:rsidR="00377127">
        <w:t>57</w:t>
      </w:r>
      <w:r w:rsidR="00CB485E">
        <w:t>% and 30% interception for coniferous and deciduous trees, respectively (Table 2).</w:t>
      </w:r>
      <w:r w:rsidR="00F15E69">
        <w:t xml:space="preserve"> </w:t>
      </w:r>
    </w:p>
    <w:p w14:paraId="711FA1B5" w14:textId="576E62C9" w:rsidR="00EB739C" w:rsidRDefault="00F15E69" w:rsidP="00EB739C">
      <w:pPr>
        <w:pStyle w:val="BodyText"/>
      </w:pPr>
      <w:r>
        <w:t xml:space="preserve">Although interception performance for specific events is negatively correlated to rainfall event size (Figure </w:t>
      </w:r>
      <w:r w:rsidR="00426A33">
        <w:t>1)</w:t>
      </w:r>
      <w:r>
        <w:t xml:space="preserve">, integrating long-term performance over many events dampens variability and the </w:t>
      </w:r>
      <w:proofErr w:type="gramStart"/>
      <w:r>
        <w:t>time period</w:t>
      </w:r>
      <w:proofErr w:type="gramEnd"/>
      <w:r>
        <w:t xml:space="preserve"> increases. Therefore, t</w:t>
      </w:r>
      <w:r w:rsidR="00EB739C">
        <w:t xml:space="preserve">he annual percent rainfall intercepted metric is </w:t>
      </w:r>
      <w:r>
        <w:t>much more comparable</w:t>
      </w:r>
      <w:r w:rsidR="00EB739C">
        <w:t xml:space="preserve"> across studies since performance is normalized to a long period of random rainfall events. </w:t>
      </w:r>
      <w:r w:rsidR="00CB485E">
        <w:t xml:space="preserve">This </w:t>
      </w:r>
      <w:r>
        <w:t xml:space="preserve">average annual </w:t>
      </w:r>
      <w:r w:rsidR="00CB485E">
        <w:t>metric, when summarized across studies, relates to the conclusions made in individual studies, namely that coniferous trees have a higher storage capacity than deciduous trees.</w:t>
      </w:r>
    </w:p>
    <w:p w14:paraId="7D03837B" w14:textId="77777777" w:rsidR="00426A33" w:rsidRDefault="00426A33" w:rsidP="00EB739C">
      <w:pPr>
        <w:pStyle w:val="BodyText"/>
      </w:pPr>
    </w:p>
    <w:p w14:paraId="0AD804B1" w14:textId="77777777" w:rsidR="00426A33" w:rsidRDefault="00426A33" w:rsidP="00EB739C">
      <w:pPr>
        <w:pStyle w:val="BodyText"/>
      </w:pPr>
    </w:p>
    <w:p w14:paraId="1C38A949" w14:textId="77777777" w:rsidR="00426A33" w:rsidRDefault="00426A33" w:rsidP="00EB739C">
      <w:pPr>
        <w:pStyle w:val="BodyText"/>
      </w:pPr>
    </w:p>
    <w:p w14:paraId="37FFF587" w14:textId="6CBA9278" w:rsidR="00EB739C" w:rsidRPr="003E7645" w:rsidRDefault="00EB739C" w:rsidP="00EB739C">
      <w:pPr>
        <w:pStyle w:val="BodyText"/>
        <w:rPr>
          <w:b/>
        </w:rPr>
      </w:pPr>
      <w:r w:rsidRPr="003E7645">
        <w:rPr>
          <w:b/>
        </w:rPr>
        <w:lastRenderedPageBreak/>
        <w:t xml:space="preserve">Table </w:t>
      </w:r>
      <w:r w:rsidR="00CB485E">
        <w:rPr>
          <w:b/>
        </w:rPr>
        <w:t>2</w:t>
      </w:r>
      <w:r w:rsidRPr="003E7645">
        <w:rPr>
          <w:b/>
        </w:rPr>
        <w:t xml:space="preserve">: Reported Annual Interception </w:t>
      </w:r>
    </w:p>
    <w:tbl>
      <w:tblPr>
        <w:tblStyle w:val="PlainTable2"/>
        <w:tblW w:w="8094" w:type="dxa"/>
        <w:tblLook w:val="04A0" w:firstRow="1" w:lastRow="0" w:firstColumn="1" w:lastColumn="0" w:noHBand="0" w:noVBand="1"/>
      </w:tblPr>
      <w:tblGrid>
        <w:gridCol w:w="1435"/>
        <w:gridCol w:w="1346"/>
        <w:gridCol w:w="1354"/>
        <w:gridCol w:w="1472"/>
        <w:gridCol w:w="1346"/>
        <w:gridCol w:w="1141"/>
      </w:tblGrid>
      <w:tr w:rsidR="00EB739C" w:rsidRPr="003E7645" w14:paraId="201D49C9" w14:textId="77777777" w:rsidTr="00426A3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135" w:type="dxa"/>
            <w:gridSpan w:val="3"/>
            <w:noWrap/>
            <w:hideMark/>
          </w:tcPr>
          <w:p w14:paraId="717B0EC3" w14:textId="77777777" w:rsidR="00EB739C" w:rsidRPr="003E7645" w:rsidRDefault="00EB739C" w:rsidP="00901EF6">
            <w:pPr>
              <w:jc w:val="center"/>
              <w:rPr>
                <w:sz w:val="20"/>
              </w:rPr>
            </w:pPr>
            <w:r w:rsidRPr="003E7645">
              <w:rPr>
                <w:rFonts w:ascii="Calibri" w:hAnsi="Calibri" w:cs="Calibri"/>
                <w:color w:val="000000"/>
                <w:szCs w:val="22"/>
              </w:rPr>
              <w:t>Coniferous</w:t>
            </w:r>
          </w:p>
        </w:tc>
        <w:tc>
          <w:tcPr>
            <w:tcW w:w="3959" w:type="dxa"/>
            <w:gridSpan w:val="3"/>
          </w:tcPr>
          <w:p w14:paraId="18F23D10" w14:textId="77777777" w:rsidR="00EB739C" w:rsidRPr="003E7645" w:rsidRDefault="00EB739C" w:rsidP="00901EF6">
            <w:pPr>
              <w:jc w:val="center"/>
              <w:cnfStyle w:val="100000000000" w:firstRow="1" w:lastRow="0" w:firstColumn="0" w:lastColumn="0" w:oddVBand="0" w:evenVBand="0" w:oddHBand="0" w:evenHBand="0" w:firstRowFirstColumn="0" w:firstRowLastColumn="0" w:lastRowFirstColumn="0" w:lastRowLastColumn="0"/>
              <w:rPr>
                <w:sz w:val="20"/>
              </w:rPr>
            </w:pPr>
            <w:r>
              <w:rPr>
                <w:rFonts w:ascii="Calibri" w:hAnsi="Calibri" w:cs="Calibri"/>
                <w:color w:val="000000"/>
                <w:szCs w:val="22"/>
              </w:rPr>
              <w:t>Deciduous</w:t>
            </w:r>
          </w:p>
        </w:tc>
      </w:tr>
      <w:tr w:rsidR="00EB739C" w:rsidRPr="003E7645" w14:paraId="54EAFFC9" w14:textId="77777777" w:rsidTr="00426A3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noWrap/>
          </w:tcPr>
          <w:p w14:paraId="1EA455A0" w14:textId="77777777" w:rsidR="00EB739C" w:rsidRPr="003E7645" w:rsidRDefault="00EB739C" w:rsidP="00901EF6">
            <w:pPr>
              <w:rPr>
                <w:rFonts w:ascii="Calibri" w:hAnsi="Calibri" w:cs="Calibri"/>
                <w:color w:val="000000"/>
                <w:szCs w:val="22"/>
              </w:rPr>
            </w:pPr>
            <w:r>
              <w:rPr>
                <w:rFonts w:ascii="Calibri" w:hAnsi="Calibri" w:cs="Calibri"/>
                <w:color w:val="000000"/>
                <w:szCs w:val="22"/>
              </w:rPr>
              <w:t>Tree Name</w:t>
            </w:r>
          </w:p>
        </w:tc>
        <w:tc>
          <w:tcPr>
            <w:tcW w:w="1346" w:type="dxa"/>
            <w:noWrap/>
          </w:tcPr>
          <w:p w14:paraId="2175980B" w14:textId="77777777" w:rsidR="00EB739C" w:rsidRPr="003E7645" w:rsidRDefault="00EB739C" w:rsidP="00901EF6">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 xml:space="preserve">Percent Interception </w:t>
            </w:r>
          </w:p>
        </w:tc>
        <w:tc>
          <w:tcPr>
            <w:tcW w:w="1354" w:type="dxa"/>
            <w:noWrap/>
          </w:tcPr>
          <w:p w14:paraId="3756AB53" w14:textId="77777777" w:rsidR="00EB739C" w:rsidRPr="003E7645" w:rsidRDefault="00EB739C" w:rsidP="00901E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Reference</w:t>
            </w:r>
          </w:p>
        </w:tc>
        <w:tc>
          <w:tcPr>
            <w:tcW w:w="1472" w:type="dxa"/>
          </w:tcPr>
          <w:p w14:paraId="12F75404" w14:textId="77777777" w:rsidR="00EB739C" w:rsidRPr="003E7645" w:rsidRDefault="00EB739C" w:rsidP="00901EF6">
            <w:p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Tree Name</w:t>
            </w:r>
          </w:p>
        </w:tc>
        <w:tc>
          <w:tcPr>
            <w:tcW w:w="1346" w:type="dxa"/>
          </w:tcPr>
          <w:p w14:paraId="355ECE28" w14:textId="77777777" w:rsidR="00EB739C" w:rsidRPr="003E7645" w:rsidRDefault="00EB739C" w:rsidP="00901EF6">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 xml:space="preserve">Percent Interception </w:t>
            </w:r>
          </w:p>
        </w:tc>
        <w:tc>
          <w:tcPr>
            <w:tcW w:w="1141" w:type="dxa"/>
          </w:tcPr>
          <w:p w14:paraId="1117B0EC" w14:textId="77777777" w:rsidR="00EB739C" w:rsidRPr="003E7645" w:rsidRDefault="00EB739C" w:rsidP="00901E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Reference</w:t>
            </w:r>
          </w:p>
        </w:tc>
      </w:tr>
      <w:tr w:rsidR="00EB739C" w:rsidRPr="003E7645" w14:paraId="056D1B4D" w14:textId="77777777" w:rsidTr="00426A33">
        <w:trPr>
          <w:trHeight w:val="315"/>
        </w:trPr>
        <w:tc>
          <w:tcPr>
            <w:cnfStyle w:val="001000000000" w:firstRow="0" w:lastRow="0" w:firstColumn="1" w:lastColumn="0" w:oddVBand="0" w:evenVBand="0" w:oddHBand="0" w:evenHBand="0" w:firstRowFirstColumn="0" w:firstRowLastColumn="0" w:lastRowFirstColumn="0" w:lastRowLastColumn="0"/>
            <w:tcW w:w="1435" w:type="dxa"/>
            <w:noWrap/>
            <w:hideMark/>
          </w:tcPr>
          <w:p w14:paraId="5663A8BF" w14:textId="77777777" w:rsidR="00EB739C" w:rsidRPr="003E7645" w:rsidRDefault="00EB739C" w:rsidP="00901EF6">
            <w:pPr>
              <w:rPr>
                <w:rFonts w:ascii="Calibri" w:hAnsi="Calibri" w:cs="Calibri"/>
                <w:color w:val="000000"/>
                <w:szCs w:val="22"/>
              </w:rPr>
            </w:pPr>
            <w:r w:rsidRPr="003E7645">
              <w:rPr>
                <w:rFonts w:ascii="Calibri" w:hAnsi="Calibri" w:cs="Calibri"/>
                <w:color w:val="000000"/>
                <w:szCs w:val="22"/>
              </w:rPr>
              <w:t>Red Cedar</w:t>
            </w:r>
          </w:p>
        </w:tc>
        <w:tc>
          <w:tcPr>
            <w:tcW w:w="1346" w:type="dxa"/>
            <w:noWrap/>
            <w:hideMark/>
          </w:tcPr>
          <w:p w14:paraId="484D8259" w14:textId="77777777" w:rsidR="00EB739C" w:rsidRPr="003E7645" w:rsidRDefault="00EB739C" w:rsidP="00901EF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rPr>
              <w:t>75%</w:t>
            </w:r>
          </w:p>
        </w:tc>
        <w:tc>
          <w:tcPr>
            <w:tcW w:w="1354" w:type="dxa"/>
            <w:noWrap/>
            <w:hideMark/>
          </w:tcPr>
          <w:p w14:paraId="608E7DCD" w14:textId="40D0AA3D" w:rsidR="00EB739C" w:rsidRPr="003E7645" w:rsidRDefault="00426A33" w:rsidP="00901E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vertAlign w:val="superscript"/>
              </w:rPr>
              <w:t>7</w:t>
            </w:r>
          </w:p>
        </w:tc>
        <w:tc>
          <w:tcPr>
            <w:tcW w:w="1472" w:type="dxa"/>
          </w:tcPr>
          <w:p w14:paraId="557D09C6" w14:textId="77777777" w:rsidR="00EB739C" w:rsidRPr="003E7645" w:rsidRDefault="00EB739C" w:rsidP="00901EF6">
            <w:p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Willow Peppermint</w:t>
            </w:r>
          </w:p>
        </w:tc>
        <w:tc>
          <w:tcPr>
            <w:tcW w:w="1346" w:type="dxa"/>
          </w:tcPr>
          <w:p w14:paraId="38ECC4C6" w14:textId="77777777" w:rsidR="00EB739C" w:rsidRPr="003E7645" w:rsidRDefault="00EB739C" w:rsidP="00901EF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rPr>
              <w:t>44%</w:t>
            </w:r>
          </w:p>
        </w:tc>
        <w:tc>
          <w:tcPr>
            <w:tcW w:w="1141" w:type="dxa"/>
          </w:tcPr>
          <w:p w14:paraId="6E45C395" w14:textId="201FAB3F" w:rsidR="00EB739C" w:rsidRPr="003E7645" w:rsidRDefault="00426A33" w:rsidP="00901E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vertAlign w:val="superscript"/>
              </w:rPr>
              <w:t>12</w:t>
            </w:r>
          </w:p>
        </w:tc>
      </w:tr>
      <w:tr w:rsidR="00EB739C" w:rsidRPr="003E7645" w14:paraId="348D9F80" w14:textId="77777777" w:rsidTr="00426A3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noWrap/>
            <w:hideMark/>
          </w:tcPr>
          <w:p w14:paraId="45BD094D" w14:textId="77777777" w:rsidR="00EB739C" w:rsidRPr="003E7645" w:rsidRDefault="00EB739C" w:rsidP="00901EF6">
            <w:pPr>
              <w:rPr>
                <w:rFonts w:ascii="Calibri" w:hAnsi="Calibri" w:cs="Calibri"/>
                <w:color w:val="000000"/>
                <w:szCs w:val="22"/>
              </w:rPr>
            </w:pPr>
            <w:r w:rsidRPr="003E7645">
              <w:rPr>
                <w:rFonts w:ascii="Calibri" w:hAnsi="Calibri" w:cs="Calibri"/>
                <w:color w:val="000000"/>
                <w:szCs w:val="22"/>
              </w:rPr>
              <w:t>Douglas Fir</w:t>
            </w:r>
          </w:p>
        </w:tc>
        <w:tc>
          <w:tcPr>
            <w:tcW w:w="1346" w:type="dxa"/>
            <w:noWrap/>
            <w:hideMark/>
          </w:tcPr>
          <w:p w14:paraId="001AAEE3" w14:textId="77777777" w:rsidR="00EB739C" w:rsidRPr="003E7645" w:rsidRDefault="00EB739C" w:rsidP="00901EF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rPr>
              <w:t>69%</w:t>
            </w:r>
          </w:p>
        </w:tc>
        <w:tc>
          <w:tcPr>
            <w:tcW w:w="1354" w:type="dxa"/>
            <w:noWrap/>
            <w:hideMark/>
          </w:tcPr>
          <w:p w14:paraId="1AB3DAC3" w14:textId="79F9557E" w:rsidR="00EB739C" w:rsidRPr="003E7645" w:rsidRDefault="00426A33" w:rsidP="00901E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vertAlign w:val="superscript"/>
              </w:rPr>
              <w:t>7</w:t>
            </w:r>
          </w:p>
        </w:tc>
        <w:tc>
          <w:tcPr>
            <w:tcW w:w="1472" w:type="dxa"/>
          </w:tcPr>
          <w:p w14:paraId="00DC2956" w14:textId="77777777" w:rsidR="00EB739C" w:rsidRPr="003E7645" w:rsidRDefault="00EB739C" w:rsidP="00901EF6">
            <w:p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Ginkgo</w:t>
            </w:r>
          </w:p>
        </w:tc>
        <w:tc>
          <w:tcPr>
            <w:tcW w:w="1346" w:type="dxa"/>
          </w:tcPr>
          <w:p w14:paraId="192A767A" w14:textId="77777777" w:rsidR="00EB739C" w:rsidRPr="003E7645" w:rsidRDefault="00EB739C" w:rsidP="00901EF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rPr>
              <w:t>38%</w:t>
            </w:r>
          </w:p>
        </w:tc>
        <w:tc>
          <w:tcPr>
            <w:tcW w:w="1141" w:type="dxa"/>
          </w:tcPr>
          <w:p w14:paraId="0D0FDC93" w14:textId="6D51B928" w:rsidR="00EB739C" w:rsidRPr="003E7645" w:rsidRDefault="00426A33" w:rsidP="00901E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vertAlign w:val="superscript"/>
              </w:rPr>
              <w:t>21</w:t>
            </w:r>
          </w:p>
        </w:tc>
      </w:tr>
      <w:tr w:rsidR="00EB739C" w:rsidRPr="003E7645" w14:paraId="3B56AFB2" w14:textId="77777777" w:rsidTr="00426A33">
        <w:trPr>
          <w:trHeight w:val="315"/>
        </w:trPr>
        <w:tc>
          <w:tcPr>
            <w:cnfStyle w:val="001000000000" w:firstRow="0" w:lastRow="0" w:firstColumn="1" w:lastColumn="0" w:oddVBand="0" w:evenVBand="0" w:oddHBand="0" w:evenHBand="0" w:firstRowFirstColumn="0" w:firstRowLastColumn="0" w:lastRowFirstColumn="0" w:lastRowLastColumn="0"/>
            <w:tcW w:w="1435" w:type="dxa"/>
            <w:noWrap/>
            <w:hideMark/>
          </w:tcPr>
          <w:p w14:paraId="382CB426" w14:textId="77777777" w:rsidR="00EB739C" w:rsidRPr="003E7645" w:rsidRDefault="00EB739C" w:rsidP="00901EF6">
            <w:pPr>
              <w:rPr>
                <w:rFonts w:ascii="Calibri" w:hAnsi="Calibri" w:cs="Calibri"/>
                <w:color w:val="000000"/>
                <w:szCs w:val="22"/>
              </w:rPr>
            </w:pPr>
            <w:r w:rsidRPr="003E7645">
              <w:rPr>
                <w:rFonts w:ascii="Calibri" w:hAnsi="Calibri" w:cs="Calibri"/>
                <w:color w:val="000000"/>
                <w:szCs w:val="22"/>
              </w:rPr>
              <w:t>Red Cedar</w:t>
            </w:r>
          </w:p>
        </w:tc>
        <w:tc>
          <w:tcPr>
            <w:tcW w:w="1346" w:type="dxa"/>
            <w:noWrap/>
            <w:hideMark/>
          </w:tcPr>
          <w:p w14:paraId="2607F24E" w14:textId="77777777" w:rsidR="00EB739C" w:rsidRPr="003E7645" w:rsidRDefault="00EB739C" w:rsidP="00901EF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rPr>
              <w:t>61%</w:t>
            </w:r>
          </w:p>
        </w:tc>
        <w:tc>
          <w:tcPr>
            <w:tcW w:w="1354" w:type="dxa"/>
            <w:noWrap/>
            <w:hideMark/>
          </w:tcPr>
          <w:p w14:paraId="19E76A10" w14:textId="7339336E" w:rsidR="00EB739C" w:rsidRPr="003E7645" w:rsidRDefault="00426A33" w:rsidP="00901E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vertAlign w:val="superscript"/>
              </w:rPr>
              <w:t>1</w:t>
            </w:r>
          </w:p>
        </w:tc>
        <w:tc>
          <w:tcPr>
            <w:tcW w:w="1472" w:type="dxa"/>
          </w:tcPr>
          <w:p w14:paraId="5DDCA57A" w14:textId="77777777" w:rsidR="00EB739C" w:rsidRPr="003E7645" w:rsidRDefault="00EB739C" w:rsidP="00901EF6">
            <w:p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Red Maple</w:t>
            </w:r>
          </w:p>
        </w:tc>
        <w:tc>
          <w:tcPr>
            <w:tcW w:w="1346" w:type="dxa"/>
          </w:tcPr>
          <w:p w14:paraId="74C525F7" w14:textId="77777777" w:rsidR="00EB739C" w:rsidRPr="003E7645" w:rsidRDefault="00EB739C" w:rsidP="00901EF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rPr>
              <w:t>29%</w:t>
            </w:r>
          </w:p>
        </w:tc>
        <w:tc>
          <w:tcPr>
            <w:tcW w:w="1141" w:type="dxa"/>
          </w:tcPr>
          <w:p w14:paraId="4A4E5D1B" w14:textId="7477058F" w:rsidR="00EB739C" w:rsidRPr="003E7645" w:rsidRDefault="00426A33" w:rsidP="00901E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vertAlign w:val="superscript"/>
              </w:rPr>
              <w:t>6</w:t>
            </w:r>
          </w:p>
        </w:tc>
      </w:tr>
      <w:tr w:rsidR="00EB739C" w:rsidRPr="003E7645" w14:paraId="0265D05B" w14:textId="77777777" w:rsidTr="00426A3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noWrap/>
            <w:hideMark/>
          </w:tcPr>
          <w:p w14:paraId="079F262B" w14:textId="77777777" w:rsidR="00EB739C" w:rsidRPr="003E7645" w:rsidRDefault="00EB739C" w:rsidP="00901EF6">
            <w:pPr>
              <w:rPr>
                <w:rFonts w:ascii="Calibri" w:hAnsi="Calibri" w:cs="Calibri"/>
                <w:color w:val="000000"/>
                <w:szCs w:val="22"/>
              </w:rPr>
            </w:pPr>
            <w:r w:rsidRPr="003E7645">
              <w:rPr>
                <w:rFonts w:ascii="Calibri" w:hAnsi="Calibri" w:cs="Calibri"/>
                <w:color w:val="000000"/>
                <w:szCs w:val="22"/>
              </w:rPr>
              <w:t>Douglas Fir</w:t>
            </w:r>
          </w:p>
        </w:tc>
        <w:tc>
          <w:tcPr>
            <w:tcW w:w="1346" w:type="dxa"/>
            <w:noWrap/>
            <w:hideMark/>
          </w:tcPr>
          <w:p w14:paraId="7F8805AD" w14:textId="77777777" w:rsidR="00EB739C" w:rsidRPr="003E7645" w:rsidRDefault="00EB739C" w:rsidP="00901EF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rPr>
              <w:t>49%</w:t>
            </w:r>
          </w:p>
        </w:tc>
        <w:tc>
          <w:tcPr>
            <w:tcW w:w="1354" w:type="dxa"/>
            <w:noWrap/>
            <w:hideMark/>
          </w:tcPr>
          <w:p w14:paraId="204EB7AF" w14:textId="151D2FDE" w:rsidR="00EB739C" w:rsidRPr="003E7645" w:rsidRDefault="00426A33" w:rsidP="00901E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vertAlign w:val="superscript"/>
              </w:rPr>
              <w:t>1</w:t>
            </w:r>
          </w:p>
        </w:tc>
        <w:tc>
          <w:tcPr>
            <w:tcW w:w="1472" w:type="dxa"/>
          </w:tcPr>
          <w:p w14:paraId="06E9758A" w14:textId="77777777" w:rsidR="00EB739C" w:rsidRPr="003E7645" w:rsidRDefault="00EB739C" w:rsidP="00901EF6">
            <w:p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Willow Oak</w:t>
            </w:r>
          </w:p>
        </w:tc>
        <w:tc>
          <w:tcPr>
            <w:tcW w:w="1346" w:type="dxa"/>
          </w:tcPr>
          <w:p w14:paraId="454EF51E" w14:textId="77777777" w:rsidR="00EB739C" w:rsidRPr="003E7645" w:rsidRDefault="00EB739C" w:rsidP="00901EF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rPr>
              <w:t>29%</w:t>
            </w:r>
          </w:p>
        </w:tc>
        <w:tc>
          <w:tcPr>
            <w:tcW w:w="1141" w:type="dxa"/>
          </w:tcPr>
          <w:p w14:paraId="011E4C68" w14:textId="1BC2274D" w:rsidR="00EB739C" w:rsidRPr="003E7645" w:rsidRDefault="00426A33" w:rsidP="00901E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vertAlign w:val="superscript"/>
              </w:rPr>
              <w:t>6</w:t>
            </w:r>
          </w:p>
        </w:tc>
      </w:tr>
      <w:tr w:rsidR="00377127" w:rsidRPr="003E7645" w14:paraId="7ED13AD6" w14:textId="77777777" w:rsidTr="00426A33">
        <w:trPr>
          <w:trHeight w:val="315"/>
        </w:trPr>
        <w:tc>
          <w:tcPr>
            <w:cnfStyle w:val="001000000000" w:firstRow="0" w:lastRow="0" w:firstColumn="1" w:lastColumn="0" w:oddVBand="0" w:evenVBand="0" w:oddHBand="0" w:evenHBand="0" w:firstRowFirstColumn="0" w:firstRowLastColumn="0" w:lastRowFirstColumn="0" w:lastRowLastColumn="0"/>
            <w:tcW w:w="1435" w:type="dxa"/>
            <w:noWrap/>
          </w:tcPr>
          <w:p w14:paraId="16F6EABC" w14:textId="792163D9" w:rsidR="00377127" w:rsidRPr="003E7645" w:rsidRDefault="00377127" w:rsidP="00377127">
            <w:pPr>
              <w:rPr>
                <w:rFonts w:ascii="Calibri" w:hAnsi="Calibri" w:cs="Calibri"/>
                <w:color w:val="000000"/>
                <w:szCs w:val="22"/>
              </w:rPr>
            </w:pPr>
            <w:r w:rsidRPr="003E7645">
              <w:rPr>
                <w:rFonts w:ascii="Calibri" w:hAnsi="Calibri" w:cs="Calibri"/>
                <w:color w:val="000000"/>
                <w:szCs w:val="22"/>
              </w:rPr>
              <w:t>Black Pine</w:t>
            </w:r>
          </w:p>
        </w:tc>
        <w:tc>
          <w:tcPr>
            <w:tcW w:w="1346" w:type="dxa"/>
            <w:noWrap/>
          </w:tcPr>
          <w:p w14:paraId="1997EBB3" w14:textId="110081CF" w:rsidR="00377127" w:rsidRPr="003E7645" w:rsidRDefault="00377127" w:rsidP="0037712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rPr>
              <w:t>47%</w:t>
            </w:r>
          </w:p>
        </w:tc>
        <w:tc>
          <w:tcPr>
            <w:tcW w:w="1354" w:type="dxa"/>
            <w:noWrap/>
          </w:tcPr>
          <w:p w14:paraId="743A0276" w14:textId="026A6BAD" w:rsidR="00377127" w:rsidRPr="003E7645" w:rsidRDefault="00426A33" w:rsidP="003771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vertAlign w:val="superscript"/>
              </w:rPr>
              <w:t>26</w:t>
            </w:r>
          </w:p>
        </w:tc>
        <w:tc>
          <w:tcPr>
            <w:tcW w:w="1472" w:type="dxa"/>
          </w:tcPr>
          <w:p w14:paraId="707D558C" w14:textId="77777777" w:rsidR="00377127" w:rsidRPr="003E7645" w:rsidRDefault="00377127" w:rsidP="00377127">
            <w:p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Blue Gum</w:t>
            </w:r>
          </w:p>
        </w:tc>
        <w:tc>
          <w:tcPr>
            <w:tcW w:w="1346" w:type="dxa"/>
          </w:tcPr>
          <w:p w14:paraId="1347DB04" w14:textId="77777777" w:rsidR="00377127" w:rsidRPr="003E7645" w:rsidRDefault="00377127" w:rsidP="0037712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rPr>
              <w:t>29%</w:t>
            </w:r>
          </w:p>
        </w:tc>
        <w:tc>
          <w:tcPr>
            <w:tcW w:w="1141" w:type="dxa"/>
          </w:tcPr>
          <w:p w14:paraId="46A9E55F" w14:textId="47B16FE3" w:rsidR="00377127" w:rsidRPr="003E7645" w:rsidRDefault="00377127" w:rsidP="003771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vertAlign w:val="superscript"/>
              </w:rPr>
              <w:t>1</w:t>
            </w:r>
            <w:r w:rsidR="00426A33">
              <w:rPr>
                <w:rFonts w:ascii="Calibri" w:hAnsi="Calibri" w:cs="Calibri"/>
                <w:color w:val="000000"/>
                <w:szCs w:val="22"/>
                <w:vertAlign w:val="superscript"/>
              </w:rPr>
              <w:t>2</w:t>
            </w:r>
          </w:p>
        </w:tc>
      </w:tr>
      <w:tr w:rsidR="00377127" w:rsidRPr="003E7645" w14:paraId="44E4EE72" w14:textId="77777777" w:rsidTr="00426A3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noWrap/>
          </w:tcPr>
          <w:p w14:paraId="3BCB0EF7" w14:textId="25741B07" w:rsidR="00377127" w:rsidRPr="003E7645" w:rsidRDefault="00377127" w:rsidP="00377127">
            <w:pPr>
              <w:rPr>
                <w:rFonts w:ascii="Calibri" w:hAnsi="Calibri" w:cs="Calibri"/>
                <w:color w:val="000000"/>
                <w:szCs w:val="22"/>
              </w:rPr>
            </w:pPr>
            <w:r w:rsidRPr="003E7645">
              <w:rPr>
                <w:rFonts w:ascii="Calibri" w:hAnsi="Calibri" w:cs="Calibri"/>
                <w:color w:val="000000"/>
                <w:szCs w:val="22"/>
              </w:rPr>
              <w:t>White Pine</w:t>
            </w:r>
          </w:p>
        </w:tc>
        <w:tc>
          <w:tcPr>
            <w:tcW w:w="1346" w:type="dxa"/>
            <w:noWrap/>
          </w:tcPr>
          <w:p w14:paraId="7809F0DE" w14:textId="71C4746C" w:rsidR="00377127" w:rsidRPr="003E7645" w:rsidRDefault="00377127" w:rsidP="0037712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rPr>
              <w:t>43%</w:t>
            </w:r>
          </w:p>
        </w:tc>
        <w:tc>
          <w:tcPr>
            <w:tcW w:w="1354" w:type="dxa"/>
            <w:noWrap/>
          </w:tcPr>
          <w:p w14:paraId="306A7E5E" w14:textId="7D1E3F77" w:rsidR="00377127" w:rsidRPr="003E7645" w:rsidRDefault="00426A33" w:rsidP="003771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vertAlign w:val="superscript"/>
              </w:rPr>
              <w:t>6</w:t>
            </w:r>
          </w:p>
        </w:tc>
        <w:tc>
          <w:tcPr>
            <w:tcW w:w="1472" w:type="dxa"/>
          </w:tcPr>
          <w:p w14:paraId="007EB099" w14:textId="77777777" w:rsidR="00377127" w:rsidRPr="003E7645" w:rsidRDefault="00377127" w:rsidP="00377127">
            <w:p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Sil</w:t>
            </w:r>
            <w:r>
              <w:rPr>
                <w:rFonts w:ascii="Calibri" w:hAnsi="Calibri" w:cs="Calibri"/>
                <w:b/>
                <w:color w:val="000000"/>
                <w:szCs w:val="22"/>
              </w:rPr>
              <w:t>v</w:t>
            </w:r>
            <w:r w:rsidRPr="003E7645">
              <w:rPr>
                <w:rFonts w:ascii="Calibri" w:hAnsi="Calibri" w:cs="Calibri"/>
                <w:b/>
                <w:color w:val="000000"/>
                <w:szCs w:val="22"/>
              </w:rPr>
              <w:t>er Birch</w:t>
            </w:r>
          </w:p>
        </w:tc>
        <w:tc>
          <w:tcPr>
            <w:tcW w:w="1346" w:type="dxa"/>
          </w:tcPr>
          <w:p w14:paraId="174985E5" w14:textId="77777777" w:rsidR="00377127" w:rsidRPr="003E7645" w:rsidRDefault="00377127" w:rsidP="0037712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rPr>
              <w:t>24%</w:t>
            </w:r>
          </w:p>
        </w:tc>
        <w:tc>
          <w:tcPr>
            <w:tcW w:w="1141" w:type="dxa"/>
          </w:tcPr>
          <w:p w14:paraId="7AA27163" w14:textId="0C75AD92" w:rsidR="00377127" w:rsidRPr="003E7645" w:rsidRDefault="00426A33" w:rsidP="003771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vertAlign w:val="superscript"/>
              </w:rPr>
              <w:t>26</w:t>
            </w:r>
          </w:p>
        </w:tc>
      </w:tr>
      <w:tr w:rsidR="00377127" w:rsidRPr="003E7645" w14:paraId="39929DF0" w14:textId="77777777" w:rsidTr="00426A33">
        <w:trPr>
          <w:trHeight w:val="315"/>
        </w:trPr>
        <w:tc>
          <w:tcPr>
            <w:cnfStyle w:val="001000000000" w:firstRow="0" w:lastRow="0" w:firstColumn="1" w:lastColumn="0" w:oddVBand="0" w:evenVBand="0" w:oddHBand="0" w:evenHBand="0" w:firstRowFirstColumn="0" w:firstRowLastColumn="0" w:lastRowFirstColumn="0" w:lastRowLastColumn="0"/>
            <w:tcW w:w="1435" w:type="dxa"/>
            <w:noWrap/>
          </w:tcPr>
          <w:p w14:paraId="1D9C56DF" w14:textId="723DA7E4" w:rsidR="00377127" w:rsidRPr="003E7645" w:rsidRDefault="00377127" w:rsidP="00377127">
            <w:pPr>
              <w:rPr>
                <w:rFonts w:ascii="Calibri" w:hAnsi="Calibri" w:cs="Calibri"/>
                <w:color w:val="000000"/>
                <w:szCs w:val="22"/>
              </w:rPr>
            </w:pPr>
          </w:p>
        </w:tc>
        <w:tc>
          <w:tcPr>
            <w:tcW w:w="1346" w:type="dxa"/>
            <w:noWrap/>
          </w:tcPr>
          <w:p w14:paraId="11BD591E" w14:textId="425ED98D" w:rsidR="00377127" w:rsidRPr="003E7645" w:rsidRDefault="00377127" w:rsidP="0037712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c>
          <w:tcPr>
            <w:tcW w:w="1354" w:type="dxa"/>
            <w:noWrap/>
          </w:tcPr>
          <w:p w14:paraId="28109EE7" w14:textId="4BCCDCA6" w:rsidR="00377127" w:rsidRPr="003E7645" w:rsidRDefault="00377127" w:rsidP="003771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c>
          <w:tcPr>
            <w:tcW w:w="1472" w:type="dxa"/>
          </w:tcPr>
          <w:p w14:paraId="20ACD6F1" w14:textId="77777777" w:rsidR="00377127" w:rsidRPr="003E7645" w:rsidRDefault="00377127" w:rsidP="00377127">
            <w:p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Sweetgum</w:t>
            </w:r>
          </w:p>
        </w:tc>
        <w:tc>
          <w:tcPr>
            <w:tcW w:w="1346" w:type="dxa"/>
          </w:tcPr>
          <w:p w14:paraId="21BE98EB" w14:textId="77777777" w:rsidR="00377127" w:rsidRPr="003E7645" w:rsidRDefault="00377127" w:rsidP="0037712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rPr>
              <w:t>14%</w:t>
            </w:r>
          </w:p>
        </w:tc>
        <w:tc>
          <w:tcPr>
            <w:tcW w:w="1141" w:type="dxa"/>
          </w:tcPr>
          <w:p w14:paraId="27FD4025" w14:textId="77777777" w:rsidR="00377127" w:rsidRPr="003E7645" w:rsidRDefault="00377127" w:rsidP="003771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3E7645">
              <w:rPr>
                <w:rFonts w:ascii="Calibri" w:hAnsi="Calibri" w:cs="Calibri"/>
                <w:color w:val="000000"/>
                <w:szCs w:val="22"/>
                <w:vertAlign w:val="superscript"/>
              </w:rPr>
              <w:t>21</w:t>
            </w:r>
          </w:p>
        </w:tc>
      </w:tr>
      <w:tr w:rsidR="00377127" w:rsidRPr="003E7645" w14:paraId="43F8C1D9" w14:textId="77777777" w:rsidTr="00426A3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noWrap/>
            <w:hideMark/>
          </w:tcPr>
          <w:p w14:paraId="48C1D980" w14:textId="77777777" w:rsidR="00377127" w:rsidRPr="003E7645" w:rsidRDefault="00377127" w:rsidP="00377127">
            <w:pPr>
              <w:jc w:val="center"/>
              <w:rPr>
                <w:rFonts w:ascii="Calibri" w:hAnsi="Calibri" w:cs="Calibri"/>
                <w:color w:val="000000"/>
                <w:szCs w:val="22"/>
              </w:rPr>
            </w:pPr>
            <w:r>
              <w:rPr>
                <w:rFonts w:ascii="Calibri" w:hAnsi="Calibri" w:cs="Calibri"/>
                <w:color w:val="000000"/>
                <w:szCs w:val="22"/>
              </w:rPr>
              <w:t>Average</w:t>
            </w:r>
          </w:p>
        </w:tc>
        <w:tc>
          <w:tcPr>
            <w:tcW w:w="1346" w:type="dxa"/>
            <w:noWrap/>
            <w:hideMark/>
          </w:tcPr>
          <w:p w14:paraId="4FC1F11F" w14:textId="13A28AA3" w:rsidR="00377127" w:rsidRPr="003E7645" w:rsidRDefault="00377127" w:rsidP="00377127">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5</w:t>
            </w:r>
            <w:r>
              <w:rPr>
                <w:rFonts w:ascii="Calibri" w:hAnsi="Calibri" w:cs="Calibri"/>
                <w:b/>
                <w:color w:val="000000"/>
                <w:szCs w:val="22"/>
              </w:rPr>
              <w:t>7</w:t>
            </w:r>
            <w:r w:rsidRPr="003E7645">
              <w:rPr>
                <w:rFonts w:ascii="Calibri" w:hAnsi="Calibri" w:cs="Calibri"/>
                <w:b/>
                <w:color w:val="000000"/>
                <w:szCs w:val="22"/>
              </w:rPr>
              <w:t>%</w:t>
            </w:r>
          </w:p>
        </w:tc>
        <w:tc>
          <w:tcPr>
            <w:tcW w:w="1354" w:type="dxa"/>
            <w:noWrap/>
            <w:hideMark/>
          </w:tcPr>
          <w:p w14:paraId="5E4C0222" w14:textId="77777777" w:rsidR="00377127" w:rsidRPr="003E7645" w:rsidRDefault="00377127" w:rsidP="003771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p>
        </w:tc>
        <w:tc>
          <w:tcPr>
            <w:tcW w:w="1472" w:type="dxa"/>
          </w:tcPr>
          <w:p w14:paraId="24FAC452" w14:textId="77777777" w:rsidR="00377127" w:rsidRPr="003E7645" w:rsidRDefault="00377127" w:rsidP="003771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Average</w:t>
            </w:r>
          </w:p>
        </w:tc>
        <w:tc>
          <w:tcPr>
            <w:tcW w:w="1346" w:type="dxa"/>
          </w:tcPr>
          <w:p w14:paraId="434A3BD4" w14:textId="77777777" w:rsidR="00377127" w:rsidRPr="003E7645" w:rsidRDefault="00377127" w:rsidP="00377127">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r w:rsidRPr="003E7645">
              <w:rPr>
                <w:rFonts w:ascii="Calibri" w:hAnsi="Calibri" w:cs="Calibri"/>
                <w:b/>
                <w:color w:val="000000"/>
                <w:szCs w:val="22"/>
              </w:rPr>
              <w:t>30%</w:t>
            </w:r>
          </w:p>
        </w:tc>
        <w:tc>
          <w:tcPr>
            <w:tcW w:w="1141" w:type="dxa"/>
          </w:tcPr>
          <w:p w14:paraId="11E61D25" w14:textId="77777777" w:rsidR="00377127" w:rsidRPr="003E7645" w:rsidRDefault="00377127" w:rsidP="00377127">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p>
        </w:tc>
      </w:tr>
    </w:tbl>
    <w:p w14:paraId="39317E85" w14:textId="77777777" w:rsidR="00EB739C" w:rsidRDefault="00EB739C" w:rsidP="00EB739C">
      <w:pPr>
        <w:pStyle w:val="BodyText"/>
      </w:pPr>
    </w:p>
    <w:p w14:paraId="146B42BE" w14:textId="77777777" w:rsidR="00426A33" w:rsidRDefault="00426A33" w:rsidP="00426A33">
      <w:pPr>
        <w:pStyle w:val="BodyText"/>
      </w:pPr>
      <w:r>
        <w:rPr>
          <w:noProof/>
        </w:rPr>
        <w:drawing>
          <wp:inline distT="0" distB="0" distL="0" distR="0" wp14:anchorId="0A9C590A" wp14:editId="2E391438">
            <wp:extent cx="5100638" cy="1849727"/>
            <wp:effectExtent l="0" t="0" r="508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7"/>
                    <a:srcRect l="4166" r="2854" b="10415"/>
                    <a:stretch/>
                  </pic:blipFill>
                  <pic:spPr bwMode="auto">
                    <a:xfrm>
                      <a:off x="0" y="0"/>
                      <a:ext cx="5101231" cy="1849942"/>
                    </a:xfrm>
                    <a:prstGeom prst="rect">
                      <a:avLst/>
                    </a:prstGeom>
                    <a:ln>
                      <a:noFill/>
                    </a:ln>
                    <a:extLst>
                      <a:ext uri="{53640926-AAD7-44D8-BBD7-CCE9431645EC}">
                        <a14:shadowObscured xmlns:a14="http://schemas.microsoft.com/office/drawing/2010/main"/>
                      </a:ext>
                    </a:extLst>
                  </pic:spPr>
                </pic:pic>
              </a:graphicData>
            </a:graphic>
          </wp:inline>
        </w:drawing>
      </w:r>
    </w:p>
    <w:p w14:paraId="0DC6DBCB" w14:textId="71EC2034" w:rsidR="00EB739C" w:rsidRDefault="00426A33" w:rsidP="00426A33">
      <w:pPr>
        <w:pStyle w:val="BodyText"/>
      </w:pPr>
      <w:r w:rsidRPr="00137725">
        <w:rPr>
          <w:b/>
        </w:rPr>
        <w:t xml:space="preserve">Figure </w:t>
      </w:r>
      <w:r>
        <w:rPr>
          <w:b/>
        </w:rPr>
        <w:t>1</w:t>
      </w:r>
      <w:r w:rsidRPr="00137725">
        <w:rPr>
          <w:b/>
        </w:rPr>
        <w:t xml:space="preserve">: Interception as a function of gross precipitation </w:t>
      </w:r>
      <w:r>
        <w:rPr>
          <w:b/>
        </w:rPr>
        <w:t>(</w:t>
      </w:r>
      <w:proofErr w:type="spellStart"/>
      <w:r>
        <w:rPr>
          <w:b/>
        </w:rPr>
        <w:t>Zabret</w:t>
      </w:r>
      <w:proofErr w:type="spellEnd"/>
      <w:r>
        <w:rPr>
          <w:b/>
        </w:rPr>
        <w:t xml:space="preserve"> et al</w:t>
      </w:r>
      <w:r w:rsidRPr="00137725">
        <w:rPr>
          <w:b/>
        </w:rPr>
        <w:t>. 2019)</w:t>
      </w:r>
    </w:p>
    <w:p w14:paraId="5861D5D0" w14:textId="5970531E" w:rsidR="00973001" w:rsidRDefault="00973001" w:rsidP="00973001">
      <w:pPr>
        <w:pStyle w:val="MemoHeading1"/>
      </w:pPr>
      <w:r>
        <w:t xml:space="preserve">Modeling </w:t>
      </w:r>
      <w:r w:rsidR="00305D8E">
        <w:t>Analysis</w:t>
      </w:r>
    </w:p>
    <w:p w14:paraId="177B070E" w14:textId="72774FD7" w:rsidR="00B3669F" w:rsidRDefault="007357F0" w:rsidP="00C30735">
      <w:pPr>
        <w:pStyle w:val="BodyText"/>
      </w:pPr>
      <w:r>
        <w:t>Annual</w:t>
      </w:r>
      <w:r w:rsidR="00973001">
        <w:t xml:space="preserve"> performance was the most reliable summary taken from the </w:t>
      </w:r>
      <w:r>
        <w:t>literature</w:t>
      </w:r>
      <w:r w:rsidR="00973001">
        <w:t xml:space="preserve">, but the </w:t>
      </w:r>
      <w:r w:rsidR="00743266">
        <w:t>“</w:t>
      </w:r>
      <w:r w:rsidR="00973001">
        <w:t>credit</w:t>
      </w:r>
      <w:r w:rsidR="00743266">
        <w:t>”</w:t>
      </w:r>
      <w:r w:rsidR="00973001">
        <w:t xml:space="preserve"> for tree interception </w:t>
      </w:r>
      <w:r w:rsidR="00743266">
        <w:t xml:space="preserve">used by MPCA </w:t>
      </w:r>
      <w:r w:rsidR="00973001">
        <w:t xml:space="preserve">is based on the </w:t>
      </w:r>
      <w:r w:rsidR="00C30735">
        <w:t xml:space="preserve">maximum storage </w:t>
      </w:r>
      <w:r w:rsidR="00973001">
        <w:t>capacity</w:t>
      </w:r>
      <w:r w:rsidR="00C30735">
        <w:t xml:space="preserve"> of the canopy</w:t>
      </w:r>
      <w:r w:rsidR="00973001">
        <w:t xml:space="preserve">, in inches. Therefore, two models were considered to relate the </w:t>
      </w:r>
      <w:r w:rsidR="00C30735">
        <w:t>maximum</w:t>
      </w:r>
      <w:r w:rsidR="00973001">
        <w:t xml:space="preserve"> storage capacity</w:t>
      </w:r>
      <w:r w:rsidR="00743266">
        <w:t xml:space="preserve"> to annual performance (Table 3</w:t>
      </w:r>
      <w:r w:rsidR="00973001">
        <w:t xml:space="preserve">). </w:t>
      </w:r>
      <w:r w:rsidR="00B3669F">
        <w:t xml:space="preserve">In </w:t>
      </w:r>
      <w:proofErr w:type="gramStart"/>
      <w:r w:rsidR="00B3669F">
        <w:t>both of these</w:t>
      </w:r>
      <w:proofErr w:type="gramEnd"/>
      <w:r w:rsidR="00B3669F">
        <w:t xml:space="preserve"> models, </w:t>
      </w:r>
      <w:r w:rsidR="00C30735">
        <w:t xml:space="preserve">instantaneous canopy interception and storage is calculated hourly for a 20-year Minnesota precipitation time series, with maximum </w:t>
      </w:r>
      <w:r w:rsidR="00B3669F">
        <w:t xml:space="preserve">interception depth </w:t>
      </w:r>
      <w:r w:rsidR="00C30735">
        <w:t>a</w:t>
      </w:r>
      <w:r w:rsidR="00B3669F">
        <w:t xml:space="preserve">s a variable input and annual performance </w:t>
      </w:r>
      <w:r w:rsidR="00C30735">
        <w:t>a</w:t>
      </w:r>
      <w:r w:rsidR="00B3669F">
        <w:t xml:space="preserve">s an output. </w:t>
      </w:r>
      <w:r w:rsidR="008F2EFF">
        <w:t>Maximum</w:t>
      </w:r>
      <w:r w:rsidR="00B3669F">
        <w:t xml:space="preserve"> interception depth </w:t>
      </w:r>
      <w:r w:rsidR="00B5487B">
        <w:t xml:space="preserve">was </w:t>
      </w:r>
      <w:r w:rsidR="00575DEA">
        <w:t xml:space="preserve">iteratively </w:t>
      </w:r>
      <w:r w:rsidR="00B5487B">
        <w:t xml:space="preserve">altered within the models </w:t>
      </w:r>
      <w:r w:rsidR="00743266">
        <w:t xml:space="preserve">until the </w:t>
      </w:r>
      <w:r w:rsidR="00B3669F">
        <w:t xml:space="preserve">annual </w:t>
      </w:r>
      <w:r w:rsidR="00743266">
        <w:t xml:space="preserve">average </w:t>
      </w:r>
      <w:r>
        <w:t>performance</w:t>
      </w:r>
      <w:r w:rsidR="00B3669F">
        <w:t xml:space="preserve"> </w:t>
      </w:r>
      <w:r w:rsidR="00743266">
        <w:t xml:space="preserve">was achieved </w:t>
      </w:r>
      <w:r w:rsidR="00B3669F">
        <w:t>(30% for deciduous and 5</w:t>
      </w:r>
      <w:r w:rsidR="00377127">
        <w:t>7</w:t>
      </w:r>
      <w:r w:rsidR="00B3669F">
        <w:t xml:space="preserve">% for coniferous). </w:t>
      </w:r>
    </w:p>
    <w:p w14:paraId="65CA686B" w14:textId="77777777" w:rsidR="00B3669F" w:rsidRDefault="00B3669F" w:rsidP="00973001">
      <w:pPr>
        <w:pStyle w:val="BodyText"/>
      </w:pPr>
    </w:p>
    <w:p w14:paraId="5EC96316" w14:textId="77777777" w:rsidR="00426A33" w:rsidRDefault="00426A33" w:rsidP="00973001">
      <w:pPr>
        <w:pStyle w:val="BodyText"/>
      </w:pPr>
    </w:p>
    <w:p w14:paraId="6EEB2C6A" w14:textId="77777777" w:rsidR="00426A33" w:rsidRDefault="00426A33" w:rsidP="00973001">
      <w:pPr>
        <w:pStyle w:val="BodyText"/>
      </w:pPr>
    </w:p>
    <w:p w14:paraId="4F13CE26" w14:textId="77777777" w:rsidR="00426A33" w:rsidRDefault="00426A33" w:rsidP="00973001">
      <w:pPr>
        <w:pStyle w:val="BodyText"/>
      </w:pPr>
    </w:p>
    <w:p w14:paraId="45D87A85" w14:textId="77777777" w:rsidR="00426A33" w:rsidRDefault="00426A33" w:rsidP="00973001">
      <w:pPr>
        <w:pStyle w:val="BodyText"/>
      </w:pPr>
    </w:p>
    <w:p w14:paraId="2114C3E3" w14:textId="0D684A15" w:rsidR="00B3669F" w:rsidRPr="00975950" w:rsidRDefault="00743266" w:rsidP="00973001">
      <w:pPr>
        <w:pStyle w:val="BodyText"/>
        <w:rPr>
          <w:b/>
        </w:rPr>
      </w:pPr>
      <w:r w:rsidRPr="00975950">
        <w:rPr>
          <w:b/>
        </w:rPr>
        <w:lastRenderedPageBreak/>
        <w:t>Table 3</w:t>
      </w:r>
      <w:r w:rsidR="00B3669F" w:rsidRPr="00975950">
        <w:rPr>
          <w:b/>
        </w:rPr>
        <w:t>: Modeling Approaches</w:t>
      </w:r>
    </w:p>
    <w:tbl>
      <w:tblPr>
        <w:tblStyle w:val="PlainTable2"/>
        <w:tblW w:w="0" w:type="auto"/>
        <w:tblLook w:val="04A0" w:firstRow="1" w:lastRow="0" w:firstColumn="1" w:lastColumn="0" w:noHBand="0" w:noVBand="1"/>
      </w:tblPr>
      <w:tblGrid>
        <w:gridCol w:w="2175"/>
        <w:gridCol w:w="2285"/>
        <w:gridCol w:w="2309"/>
        <w:gridCol w:w="1871"/>
      </w:tblGrid>
      <w:tr w:rsidR="00163877" w14:paraId="6EC7780F" w14:textId="77777777" w:rsidTr="00163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tcPr>
          <w:p w14:paraId="34ABAE56" w14:textId="77777777" w:rsidR="00163877" w:rsidRDefault="00163877" w:rsidP="00973001">
            <w:pPr>
              <w:pStyle w:val="BodyText"/>
            </w:pPr>
            <w:r>
              <w:t>Model</w:t>
            </w:r>
          </w:p>
        </w:tc>
        <w:tc>
          <w:tcPr>
            <w:tcW w:w="2290" w:type="dxa"/>
          </w:tcPr>
          <w:p w14:paraId="394BEF09" w14:textId="77777777" w:rsidR="00163877" w:rsidRDefault="00163877" w:rsidP="00973001">
            <w:pPr>
              <w:pStyle w:val="BodyText"/>
              <w:cnfStyle w:val="100000000000" w:firstRow="1" w:lastRow="0" w:firstColumn="0" w:lastColumn="0" w:oddVBand="0" w:evenVBand="0" w:oddHBand="0" w:evenHBand="0" w:firstRowFirstColumn="0" w:firstRowLastColumn="0" w:lastRowFirstColumn="0" w:lastRowLastColumn="0"/>
            </w:pPr>
            <w:r>
              <w:t>Approach</w:t>
            </w:r>
          </w:p>
        </w:tc>
        <w:tc>
          <w:tcPr>
            <w:tcW w:w="2314" w:type="dxa"/>
          </w:tcPr>
          <w:p w14:paraId="311E0549" w14:textId="77777777" w:rsidR="00163877" w:rsidRDefault="00163877" w:rsidP="00973001">
            <w:pPr>
              <w:pStyle w:val="BodyText"/>
              <w:cnfStyle w:val="100000000000" w:firstRow="1" w:lastRow="0" w:firstColumn="0" w:lastColumn="0" w:oddVBand="0" w:evenVBand="0" w:oddHBand="0" w:evenHBand="0" w:firstRowFirstColumn="0" w:firstRowLastColumn="0" w:lastRowFirstColumn="0" w:lastRowLastColumn="0"/>
            </w:pPr>
            <w:r>
              <w:t>Inputs</w:t>
            </w:r>
          </w:p>
        </w:tc>
        <w:tc>
          <w:tcPr>
            <w:tcW w:w="1854" w:type="dxa"/>
          </w:tcPr>
          <w:p w14:paraId="67BD9344" w14:textId="77777777" w:rsidR="00163877" w:rsidRDefault="00163877" w:rsidP="00973001">
            <w:pPr>
              <w:pStyle w:val="BodyText"/>
              <w:cnfStyle w:val="100000000000" w:firstRow="1" w:lastRow="0" w:firstColumn="0" w:lastColumn="0" w:oddVBand="0" w:evenVBand="0" w:oddHBand="0" w:evenHBand="0" w:firstRowFirstColumn="0" w:firstRowLastColumn="0" w:lastRowFirstColumn="0" w:lastRowLastColumn="0"/>
            </w:pPr>
            <w:r>
              <w:t>Output</w:t>
            </w:r>
          </w:p>
        </w:tc>
      </w:tr>
      <w:tr w:rsidR="00163877" w14:paraId="67327D83" w14:textId="77777777" w:rsidTr="00163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tcPr>
          <w:p w14:paraId="7555C7EA" w14:textId="77777777" w:rsidR="00163877" w:rsidRDefault="00163877" w:rsidP="00973001">
            <w:pPr>
              <w:pStyle w:val="BodyText"/>
            </w:pPr>
            <w:r>
              <w:t>Storm Discrete</w:t>
            </w:r>
          </w:p>
        </w:tc>
        <w:tc>
          <w:tcPr>
            <w:tcW w:w="2290" w:type="dxa"/>
          </w:tcPr>
          <w:p w14:paraId="76E34E92" w14:textId="77777777" w:rsidR="00163877" w:rsidRDefault="00163877" w:rsidP="00973001">
            <w:pPr>
              <w:pStyle w:val="BodyText"/>
              <w:cnfStyle w:val="000000100000" w:firstRow="0" w:lastRow="0" w:firstColumn="0" w:lastColumn="0" w:oddVBand="0" w:evenVBand="0" w:oddHBand="1" w:evenHBand="0" w:firstRowFirstColumn="0" w:firstRowLastColumn="0" w:lastRowFirstColumn="0" w:lastRowLastColumn="0"/>
            </w:pPr>
            <w:r>
              <w:t xml:space="preserve">Identify individual precipitation events and assume complete interception up to the capacity. </w:t>
            </w:r>
          </w:p>
        </w:tc>
        <w:tc>
          <w:tcPr>
            <w:tcW w:w="2314" w:type="dxa"/>
          </w:tcPr>
          <w:p w14:paraId="094A2CE8" w14:textId="77777777" w:rsidR="00163877" w:rsidRDefault="00163877" w:rsidP="00973001">
            <w:pPr>
              <w:pStyle w:val="BodyText"/>
              <w:cnfStyle w:val="000000100000" w:firstRow="0" w:lastRow="0" w:firstColumn="0" w:lastColumn="0" w:oddVBand="0" w:evenVBand="0" w:oddHBand="1" w:evenHBand="0" w:firstRowFirstColumn="0" w:firstRowLastColumn="0" w:lastRowFirstColumn="0" w:lastRowLastColumn="0"/>
            </w:pPr>
            <w:r>
              <w:t>Precipitation, interception depth, length of dry time between storms</w:t>
            </w:r>
          </w:p>
        </w:tc>
        <w:tc>
          <w:tcPr>
            <w:tcW w:w="1854" w:type="dxa"/>
          </w:tcPr>
          <w:p w14:paraId="7DA9691D" w14:textId="77777777" w:rsidR="00163877" w:rsidRDefault="00163877" w:rsidP="00973001">
            <w:pPr>
              <w:pStyle w:val="BodyText"/>
              <w:cnfStyle w:val="000000100000" w:firstRow="0" w:lastRow="0" w:firstColumn="0" w:lastColumn="0" w:oddVBand="0" w:evenVBand="0" w:oddHBand="1" w:evenHBand="0" w:firstRowFirstColumn="0" w:firstRowLastColumn="0" w:lastRowFirstColumn="0" w:lastRowLastColumn="0"/>
            </w:pPr>
            <w:r>
              <w:t xml:space="preserve">Annual </w:t>
            </w:r>
            <w:r w:rsidR="007357F0">
              <w:t>Performance</w:t>
            </w:r>
            <w:r>
              <w:t xml:space="preserve"> = (sum of volume intercepted)</w:t>
            </w:r>
            <w:proofErr w:type="gramStart"/>
            <w:r>
              <w:t>/(</w:t>
            </w:r>
            <w:proofErr w:type="gramEnd"/>
            <w:r>
              <w:t>total precipitation)</w:t>
            </w:r>
          </w:p>
        </w:tc>
      </w:tr>
      <w:tr w:rsidR="00163877" w14:paraId="15B46043" w14:textId="77777777" w:rsidTr="00163877">
        <w:tc>
          <w:tcPr>
            <w:cnfStyle w:val="001000000000" w:firstRow="0" w:lastRow="0" w:firstColumn="1" w:lastColumn="0" w:oddVBand="0" w:evenVBand="0" w:oddHBand="0" w:evenHBand="0" w:firstRowFirstColumn="0" w:firstRowLastColumn="0" w:lastRowFirstColumn="0" w:lastRowLastColumn="0"/>
            <w:tcW w:w="2182" w:type="dxa"/>
          </w:tcPr>
          <w:p w14:paraId="1705EDB9" w14:textId="77777777" w:rsidR="00163877" w:rsidRDefault="00163877" w:rsidP="00973001">
            <w:pPr>
              <w:pStyle w:val="BodyText"/>
            </w:pPr>
            <w:r>
              <w:t>Storage Balance</w:t>
            </w:r>
          </w:p>
        </w:tc>
        <w:tc>
          <w:tcPr>
            <w:tcW w:w="2290" w:type="dxa"/>
          </w:tcPr>
          <w:p w14:paraId="597D9198" w14:textId="77777777" w:rsidR="00163877" w:rsidRDefault="00163877" w:rsidP="00973001">
            <w:pPr>
              <w:pStyle w:val="BodyText"/>
              <w:cnfStyle w:val="000000000000" w:firstRow="0" w:lastRow="0" w:firstColumn="0" w:lastColumn="0" w:oddVBand="0" w:evenVBand="0" w:oddHBand="0" w:evenHBand="0" w:firstRowFirstColumn="0" w:firstRowLastColumn="0" w:lastRowFirstColumn="0" w:lastRowLastColumn="0"/>
            </w:pPr>
            <w:r>
              <w:t xml:space="preserve">Perform water balance using hourly rainfall and evaporation rates. Assume all rainfall is intercepted unless capacity of canopy has been reached. Canopy will “fill” with rainfall at each interval and “empty” through evaporation. </w:t>
            </w:r>
          </w:p>
        </w:tc>
        <w:tc>
          <w:tcPr>
            <w:tcW w:w="2314" w:type="dxa"/>
          </w:tcPr>
          <w:p w14:paraId="414767AF" w14:textId="77777777" w:rsidR="00163877" w:rsidRDefault="00163877" w:rsidP="00973001">
            <w:pPr>
              <w:pStyle w:val="BodyText"/>
              <w:cnfStyle w:val="000000000000" w:firstRow="0" w:lastRow="0" w:firstColumn="0" w:lastColumn="0" w:oddVBand="0" w:evenVBand="0" w:oddHBand="0" w:evenHBand="0" w:firstRowFirstColumn="0" w:firstRowLastColumn="0" w:lastRowFirstColumn="0" w:lastRowLastColumn="0"/>
            </w:pPr>
            <w:r>
              <w:t>Precipitation, interception depth, evaporation rates</w:t>
            </w:r>
          </w:p>
        </w:tc>
        <w:tc>
          <w:tcPr>
            <w:tcW w:w="1854" w:type="dxa"/>
          </w:tcPr>
          <w:p w14:paraId="6B617AE4" w14:textId="77777777" w:rsidR="00163877" w:rsidRDefault="00163877" w:rsidP="00973001">
            <w:pPr>
              <w:pStyle w:val="BodyText"/>
              <w:cnfStyle w:val="000000000000" w:firstRow="0" w:lastRow="0" w:firstColumn="0" w:lastColumn="0" w:oddVBand="0" w:evenVBand="0" w:oddHBand="0" w:evenHBand="0" w:firstRowFirstColumn="0" w:firstRowLastColumn="0" w:lastRowFirstColumn="0" w:lastRowLastColumn="0"/>
            </w:pPr>
            <w:r>
              <w:t>Annual Performance = (sum of volume intercepted)</w:t>
            </w:r>
            <w:proofErr w:type="gramStart"/>
            <w:r>
              <w:t>/(</w:t>
            </w:r>
            <w:proofErr w:type="gramEnd"/>
            <w:r>
              <w:t>total precipitation)</w:t>
            </w:r>
          </w:p>
        </w:tc>
      </w:tr>
    </w:tbl>
    <w:p w14:paraId="43DD9F50" w14:textId="77777777" w:rsidR="00973001" w:rsidRDefault="00973001" w:rsidP="00973001">
      <w:pPr>
        <w:pStyle w:val="BodyText"/>
      </w:pPr>
    </w:p>
    <w:p w14:paraId="2835AA03" w14:textId="77777777" w:rsidR="00163877" w:rsidRDefault="00163877" w:rsidP="00163877">
      <w:pPr>
        <w:pStyle w:val="MemoHeading2"/>
      </w:pPr>
      <w:r>
        <w:t>Model Inputs</w:t>
      </w:r>
    </w:p>
    <w:p w14:paraId="2DC808C9" w14:textId="77777777" w:rsidR="00163877" w:rsidRDefault="00163877" w:rsidP="00163877">
      <w:pPr>
        <w:pStyle w:val="MemoHeading3"/>
      </w:pPr>
      <w:r>
        <w:t>Rainfall</w:t>
      </w:r>
    </w:p>
    <w:p w14:paraId="6E05DCBC" w14:textId="77777777" w:rsidR="00163877" w:rsidRDefault="00163877" w:rsidP="00163877">
      <w:pPr>
        <w:pStyle w:val="BodyText"/>
      </w:pPr>
      <w:r>
        <w:t xml:space="preserve">A </w:t>
      </w:r>
      <w:proofErr w:type="gramStart"/>
      <w:r>
        <w:t>twenty year</w:t>
      </w:r>
      <w:proofErr w:type="gramEnd"/>
      <w:r>
        <w:t xml:space="preserve"> hourly </w:t>
      </w:r>
      <w:r w:rsidR="00DA3CB1">
        <w:t>rainfall time series</w:t>
      </w:r>
      <w:r>
        <w:t xml:space="preserve"> (1/1/2000-12/31/2019) for the Minneapolis </w:t>
      </w:r>
      <w:r w:rsidR="00DA3CB1">
        <w:t xml:space="preserve">area </w:t>
      </w:r>
      <w:r>
        <w:t xml:space="preserve">was used in both models. The rainfall </w:t>
      </w:r>
      <w:r w:rsidR="00DA3CB1">
        <w:t>data</w:t>
      </w:r>
      <w:r>
        <w:t xml:space="preserve"> was accessed from the North American Land Data Assimilation System </w:t>
      </w:r>
      <w:r w:rsidR="00DA3CB1">
        <w:t xml:space="preserve">gridded forcing dataset </w:t>
      </w:r>
      <w:r>
        <w:t>using a Data Rod query</w:t>
      </w:r>
      <w:r w:rsidR="00DA3CB1">
        <w:rPr>
          <w:rStyle w:val="FootnoteReference"/>
        </w:rPr>
        <w:footnoteReference w:id="2"/>
      </w:r>
      <w:r w:rsidR="00DA3CB1">
        <w:t xml:space="preserve">. These data are not direct observations but forcing data based on climate models. </w:t>
      </w:r>
    </w:p>
    <w:p w14:paraId="71F210B4" w14:textId="77777777" w:rsidR="00DA3CB1" w:rsidRDefault="00DA3CB1" w:rsidP="00DA3CB1">
      <w:pPr>
        <w:pStyle w:val="BodyText"/>
      </w:pPr>
      <w:r>
        <w:t xml:space="preserve">For the storm discrete model, a </w:t>
      </w:r>
      <w:proofErr w:type="gramStart"/>
      <w:r>
        <w:t>6 hour</w:t>
      </w:r>
      <w:proofErr w:type="gramEnd"/>
      <w:r>
        <w:t xml:space="preserve"> dry interval between events was chosen. </w:t>
      </w:r>
    </w:p>
    <w:p w14:paraId="6E77C5B2" w14:textId="77777777" w:rsidR="00DA3CB1" w:rsidRDefault="00DA3CB1" w:rsidP="00DA3CB1">
      <w:pPr>
        <w:pStyle w:val="MemoHeading3"/>
      </w:pPr>
      <w:r>
        <w:t xml:space="preserve">Evaporation </w:t>
      </w:r>
    </w:p>
    <w:p w14:paraId="03E824B2" w14:textId="77777777" w:rsidR="00DA3CB1" w:rsidRPr="00DA3CB1" w:rsidRDefault="00DA3CB1" w:rsidP="00DA3CB1">
      <w:pPr>
        <w:pStyle w:val="BodyText"/>
      </w:pPr>
      <w:r>
        <w:t xml:space="preserve">Monthly evaporation rates for Minneapolis were converted into hourly rates for use in the storage balance model. Evaporation rates were </w:t>
      </w:r>
      <w:r w:rsidR="00B3669F">
        <w:t>accessed through NOAA</w:t>
      </w:r>
      <w:r w:rsidR="00B3669F">
        <w:rPr>
          <w:rStyle w:val="FootnoteReference"/>
        </w:rPr>
        <w:footnoteReference w:id="3"/>
      </w:r>
      <w:r w:rsidR="00B3669F">
        <w:t xml:space="preserve">. </w:t>
      </w:r>
    </w:p>
    <w:p w14:paraId="7BD46AD8" w14:textId="77777777" w:rsidR="00163877" w:rsidRDefault="00B3669F" w:rsidP="00BA3231">
      <w:pPr>
        <w:pStyle w:val="MemoHeading2"/>
      </w:pPr>
      <w:r>
        <w:t>Model Results</w:t>
      </w:r>
    </w:p>
    <w:p w14:paraId="1F13EACA" w14:textId="6E5E35CF" w:rsidR="00B3669F" w:rsidRDefault="00B3669F" w:rsidP="00B3669F">
      <w:pPr>
        <w:pStyle w:val="BodyText"/>
      </w:pPr>
      <w:r>
        <w:t xml:space="preserve">The models produced results </w:t>
      </w:r>
      <w:r w:rsidR="00743266">
        <w:t>that</w:t>
      </w:r>
      <w:r w:rsidR="00B5487B">
        <w:t xml:space="preserve"> are</w:t>
      </w:r>
      <w:r w:rsidR="00743266">
        <w:t xml:space="preserve"> relatively similar (Table 4</w:t>
      </w:r>
      <w:r>
        <w:t xml:space="preserve">). The percent difference between the two models was 10% for coniferous trees and 24% for deciduous trees. </w:t>
      </w:r>
    </w:p>
    <w:p w14:paraId="1CE11DAE" w14:textId="77777777" w:rsidR="00426A33" w:rsidRDefault="00426A33" w:rsidP="00B3669F">
      <w:pPr>
        <w:pStyle w:val="BodyText"/>
      </w:pPr>
    </w:p>
    <w:p w14:paraId="033C5C21" w14:textId="77777777" w:rsidR="00426A33" w:rsidRDefault="00426A33" w:rsidP="00B3669F">
      <w:pPr>
        <w:pStyle w:val="BodyText"/>
      </w:pPr>
    </w:p>
    <w:p w14:paraId="0081D16B" w14:textId="6BCDA467" w:rsidR="00743266" w:rsidRPr="00975950" w:rsidRDefault="00743266" w:rsidP="00B3669F">
      <w:pPr>
        <w:pStyle w:val="BodyText"/>
        <w:rPr>
          <w:b/>
        </w:rPr>
      </w:pPr>
      <w:r w:rsidRPr="00975950">
        <w:rPr>
          <w:b/>
        </w:rPr>
        <w:lastRenderedPageBreak/>
        <w:t>Table 4: Model Results</w:t>
      </w:r>
    </w:p>
    <w:tbl>
      <w:tblPr>
        <w:tblStyle w:val="PlainTable2"/>
        <w:tblW w:w="0" w:type="auto"/>
        <w:tblLook w:val="04A0" w:firstRow="1" w:lastRow="0" w:firstColumn="1" w:lastColumn="0" w:noHBand="0" w:noVBand="1"/>
      </w:tblPr>
      <w:tblGrid>
        <w:gridCol w:w="2157"/>
        <w:gridCol w:w="2157"/>
        <w:gridCol w:w="2158"/>
        <w:gridCol w:w="2158"/>
      </w:tblGrid>
      <w:tr w:rsidR="00B3669F" w14:paraId="57D83B58" w14:textId="77777777" w:rsidTr="00B36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5A2306D9" w14:textId="77777777" w:rsidR="00B3669F" w:rsidRDefault="00B3669F" w:rsidP="00B3669F">
            <w:pPr>
              <w:pStyle w:val="BodyText"/>
            </w:pPr>
            <w:r>
              <w:t>Model</w:t>
            </w:r>
          </w:p>
        </w:tc>
        <w:tc>
          <w:tcPr>
            <w:tcW w:w="2157" w:type="dxa"/>
          </w:tcPr>
          <w:p w14:paraId="0CCA86E8" w14:textId="77777777" w:rsidR="00B3669F" w:rsidRDefault="00B3669F" w:rsidP="00B3669F">
            <w:pPr>
              <w:pStyle w:val="BodyText"/>
              <w:cnfStyle w:val="100000000000" w:firstRow="1" w:lastRow="0" w:firstColumn="0" w:lastColumn="0" w:oddVBand="0" w:evenVBand="0" w:oddHBand="0" w:evenHBand="0" w:firstRowFirstColumn="0" w:firstRowLastColumn="0" w:lastRowFirstColumn="0" w:lastRowLastColumn="0"/>
            </w:pPr>
            <w:r>
              <w:t>Tree Type</w:t>
            </w:r>
          </w:p>
        </w:tc>
        <w:tc>
          <w:tcPr>
            <w:tcW w:w="2158" w:type="dxa"/>
          </w:tcPr>
          <w:p w14:paraId="50A61E1D" w14:textId="77777777" w:rsidR="00B3669F" w:rsidRDefault="00B3669F" w:rsidP="00B3669F">
            <w:pPr>
              <w:pStyle w:val="BodyText"/>
              <w:cnfStyle w:val="100000000000" w:firstRow="1" w:lastRow="0" w:firstColumn="0" w:lastColumn="0" w:oddVBand="0" w:evenVBand="0" w:oddHBand="0" w:evenHBand="0" w:firstRowFirstColumn="0" w:firstRowLastColumn="0" w:lastRowFirstColumn="0" w:lastRowLastColumn="0"/>
            </w:pPr>
            <w:r>
              <w:t>Target Annual Performance</w:t>
            </w:r>
          </w:p>
        </w:tc>
        <w:tc>
          <w:tcPr>
            <w:tcW w:w="2158" w:type="dxa"/>
          </w:tcPr>
          <w:p w14:paraId="0FDE2258" w14:textId="77777777" w:rsidR="00B3669F" w:rsidRDefault="00B3669F" w:rsidP="00B3669F">
            <w:pPr>
              <w:pStyle w:val="BodyText"/>
              <w:cnfStyle w:val="100000000000" w:firstRow="1" w:lastRow="0" w:firstColumn="0" w:lastColumn="0" w:oddVBand="0" w:evenVBand="0" w:oddHBand="0" w:evenHBand="0" w:firstRowFirstColumn="0" w:firstRowLastColumn="0" w:lastRowFirstColumn="0" w:lastRowLastColumn="0"/>
            </w:pPr>
            <w:r>
              <w:t>Interception Depth to Achieve Target (in)</w:t>
            </w:r>
          </w:p>
        </w:tc>
      </w:tr>
      <w:tr w:rsidR="00B3669F" w14:paraId="47F93E2A" w14:textId="77777777" w:rsidTr="00B3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val="restart"/>
          </w:tcPr>
          <w:p w14:paraId="1D6993B6" w14:textId="77777777" w:rsidR="00B3669F" w:rsidRDefault="00B3669F" w:rsidP="00B3669F">
            <w:pPr>
              <w:pStyle w:val="BodyText"/>
            </w:pPr>
            <w:r>
              <w:t>Storm Discrete</w:t>
            </w:r>
          </w:p>
        </w:tc>
        <w:tc>
          <w:tcPr>
            <w:tcW w:w="2157" w:type="dxa"/>
          </w:tcPr>
          <w:p w14:paraId="76546071" w14:textId="77777777" w:rsidR="00B3669F" w:rsidRDefault="00B3669F" w:rsidP="00B3669F">
            <w:pPr>
              <w:pStyle w:val="BodyText"/>
              <w:cnfStyle w:val="000000100000" w:firstRow="0" w:lastRow="0" w:firstColumn="0" w:lastColumn="0" w:oddVBand="0" w:evenVBand="0" w:oddHBand="1" w:evenHBand="0" w:firstRowFirstColumn="0" w:firstRowLastColumn="0" w:lastRowFirstColumn="0" w:lastRowLastColumn="0"/>
            </w:pPr>
            <w:r>
              <w:t>Deciduous</w:t>
            </w:r>
          </w:p>
        </w:tc>
        <w:tc>
          <w:tcPr>
            <w:tcW w:w="2158" w:type="dxa"/>
          </w:tcPr>
          <w:p w14:paraId="1E04B927" w14:textId="77777777" w:rsidR="00B3669F" w:rsidRDefault="00B3669F" w:rsidP="00B3669F">
            <w:pPr>
              <w:pStyle w:val="BodyText"/>
              <w:cnfStyle w:val="000000100000" w:firstRow="0" w:lastRow="0" w:firstColumn="0" w:lastColumn="0" w:oddVBand="0" w:evenVBand="0" w:oddHBand="1" w:evenHBand="0" w:firstRowFirstColumn="0" w:firstRowLastColumn="0" w:lastRowFirstColumn="0" w:lastRowLastColumn="0"/>
            </w:pPr>
            <w:r>
              <w:t>30%</w:t>
            </w:r>
          </w:p>
        </w:tc>
        <w:tc>
          <w:tcPr>
            <w:tcW w:w="2158" w:type="dxa"/>
          </w:tcPr>
          <w:p w14:paraId="363FC870" w14:textId="77777777" w:rsidR="00B3669F" w:rsidRDefault="00B3669F" w:rsidP="00B3669F">
            <w:pPr>
              <w:pStyle w:val="BodyText"/>
              <w:cnfStyle w:val="000000100000" w:firstRow="0" w:lastRow="0" w:firstColumn="0" w:lastColumn="0" w:oddVBand="0" w:evenVBand="0" w:oddHBand="1" w:evenHBand="0" w:firstRowFirstColumn="0" w:firstRowLastColumn="0" w:lastRowFirstColumn="0" w:lastRowLastColumn="0"/>
            </w:pPr>
            <w:r>
              <w:t>0.14</w:t>
            </w:r>
          </w:p>
        </w:tc>
      </w:tr>
      <w:tr w:rsidR="00B3669F" w14:paraId="56B9F86C" w14:textId="77777777" w:rsidTr="00B3669F">
        <w:tc>
          <w:tcPr>
            <w:cnfStyle w:val="001000000000" w:firstRow="0" w:lastRow="0" w:firstColumn="1" w:lastColumn="0" w:oddVBand="0" w:evenVBand="0" w:oddHBand="0" w:evenHBand="0" w:firstRowFirstColumn="0" w:firstRowLastColumn="0" w:lastRowFirstColumn="0" w:lastRowLastColumn="0"/>
            <w:tcW w:w="2157" w:type="dxa"/>
            <w:vMerge/>
          </w:tcPr>
          <w:p w14:paraId="3FD2A40E" w14:textId="77777777" w:rsidR="00B3669F" w:rsidRDefault="00B3669F" w:rsidP="00B3669F">
            <w:pPr>
              <w:pStyle w:val="BodyText"/>
            </w:pPr>
          </w:p>
        </w:tc>
        <w:tc>
          <w:tcPr>
            <w:tcW w:w="2157" w:type="dxa"/>
          </w:tcPr>
          <w:p w14:paraId="0EEC7BEA" w14:textId="77777777" w:rsidR="00B3669F" w:rsidRDefault="00B3669F" w:rsidP="00B3669F">
            <w:pPr>
              <w:pStyle w:val="BodyText"/>
              <w:cnfStyle w:val="000000000000" w:firstRow="0" w:lastRow="0" w:firstColumn="0" w:lastColumn="0" w:oddVBand="0" w:evenVBand="0" w:oddHBand="0" w:evenHBand="0" w:firstRowFirstColumn="0" w:firstRowLastColumn="0" w:lastRowFirstColumn="0" w:lastRowLastColumn="0"/>
            </w:pPr>
            <w:r>
              <w:t>Coniferous</w:t>
            </w:r>
          </w:p>
        </w:tc>
        <w:tc>
          <w:tcPr>
            <w:tcW w:w="2158" w:type="dxa"/>
          </w:tcPr>
          <w:p w14:paraId="215A76C8" w14:textId="50A95805" w:rsidR="00B3669F" w:rsidRDefault="00B3669F" w:rsidP="00377127">
            <w:pPr>
              <w:pStyle w:val="BodyText"/>
              <w:cnfStyle w:val="000000000000" w:firstRow="0" w:lastRow="0" w:firstColumn="0" w:lastColumn="0" w:oddVBand="0" w:evenVBand="0" w:oddHBand="0" w:evenHBand="0" w:firstRowFirstColumn="0" w:firstRowLastColumn="0" w:lastRowFirstColumn="0" w:lastRowLastColumn="0"/>
            </w:pPr>
            <w:r>
              <w:t>5</w:t>
            </w:r>
            <w:r w:rsidR="00377127">
              <w:t>7</w:t>
            </w:r>
            <w:r>
              <w:t>%</w:t>
            </w:r>
          </w:p>
        </w:tc>
        <w:tc>
          <w:tcPr>
            <w:tcW w:w="2158" w:type="dxa"/>
          </w:tcPr>
          <w:p w14:paraId="268BA808" w14:textId="05D05A35" w:rsidR="00B3669F" w:rsidRDefault="00B3669F" w:rsidP="00B3669F">
            <w:pPr>
              <w:pStyle w:val="BodyText"/>
              <w:cnfStyle w:val="000000000000" w:firstRow="0" w:lastRow="0" w:firstColumn="0" w:lastColumn="0" w:oddVBand="0" w:evenVBand="0" w:oddHBand="0" w:evenHBand="0" w:firstRowFirstColumn="0" w:firstRowLastColumn="0" w:lastRowFirstColumn="0" w:lastRowLastColumn="0"/>
            </w:pPr>
            <w:r>
              <w:t>0.</w:t>
            </w:r>
            <w:r w:rsidR="00377127">
              <w:t>40</w:t>
            </w:r>
          </w:p>
        </w:tc>
      </w:tr>
      <w:tr w:rsidR="00B3669F" w14:paraId="00B0A333" w14:textId="77777777" w:rsidTr="00B3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val="restart"/>
          </w:tcPr>
          <w:p w14:paraId="377C25F2" w14:textId="77777777" w:rsidR="00B3669F" w:rsidRDefault="00B3669F" w:rsidP="00B3669F">
            <w:pPr>
              <w:pStyle w:val="BodyText"/>
            </w:pPr>
            <w:r>
              <w:t>Storage Balance</w:t>
            </w:r>
          </w:p>
        </w:tc>
        <w:tc>
          <w:tcPr>
            <w:tcW w:w="2157" w:type="dxa"/>
          </w:tcPr>
          <w:p w14:paraId="30C87F2B" w14:textId="77777777" w:rsidR="00B3669F" w:rsidRDefault="00B3669F" w:rsidP="00B3669F">
            <w:pPr>
              <w:pStyle w:val="BodyText"/>
              <w:cnfStyle w:val="000000100000" w:firstRow="0" w:lastRow="0" w:firstColumn="0" w:lastColumn="0" w:oddVBand="0" w:evenVBand="0" w:oddHBand="1" w:evenHBand="0" w:firstRowFirstColumn="0" w:firstRowLastColumn="0" w:lastRowFirstColumn="0" w:lastRowLastColumn="0"/>
            </w:pPr>
            <w:r>
              <w:t>Deciduous</w:t>
            </w:r>
          </w:p>
        </w:tc>
        <w:tc>
          <w:tcPr>
            <w:tcW w:w="2158" w:type="dxa"/>
          </w:tcPr>
          <w:p w14:paraId="16C36EB0" w14:textId="77777777" w:rsidR="00B3669F" w:rsidRDefault="00B3669F" w:rsidP="00B3669F">
            <w:pPr>
              <w:pStyle w:val="BodyText"/>
              <w:cnfStyle w:val="000000100000" w:firstRow="0" w:lastRow="0" w:firstColumn="0" w:lastColumn="0" w:oddVBand="0" w:evenVBand="0" w:oddHBand="1" w:evenHBand="0" w:firstRowFirstColumn="0" w:firstRowLastColumn="0" w:lastRowFirstColumn="0" w:lastRowLastColumn="0"/>
            </w:pPr>
            <w:r>
              <w:t>30%</w:t>
            </w:r>
          </w:p>
        </w:tc>
        <w:tc>
          <w:tcPr>
            <w:tcW w:w="2158" w:type="dxa"/>
          </w:tcPr>
          <w:p w14:paraId="627A1626" w14:textId="77777777" w:rsidR="00B3669F" w:rsidRDefault="00B3669F" w:rsidP="00B3669F">
            <w:pPr>
              <w:pStyle w:val="BodyText"/>
              <w:cnfStyle w:val="000000100000" w:firstRow="0" w:lastRow="0" w:firstColumn="0" w:lastColumn="0" w:oddVBand="0" w:evenVBand="0" w:oddHBand="1" w:evenHBand="0" w:firstRowFirstColumn="0" w:firstRowLastColumn="0" w:lastRowFirstColumn="0" w:lastRowLastColumn="0"/>
            </w:pPr>
            <w:r>
              <w:t>0.11</w:t>
            </w:r>
          </w:p>
        </w:tc>
      </w:tr>
      <w:tr w:rsidR="00B3669F" w14:paraId="28762C09" w14:textId="77777777" w:rsidTr="00B3669F">
        <w:tc>
          <w:tcPr>
            <w:cnfStyle w:val="001000000000" w:firstRow="0" w:lastRow="0" w:firstColumn="1" w:lastColumn="0" w:oddVBand="0" w:evenVBand="0" w:oddHBand="0" w:evenHBand="0" w:firstRowFirstColumn="0" w:firstRowLastColumn="0" w:lastRowFirstColumn="0" w:lastRowLastColumn="0"/>
            <w:tcW w:w="2157" w:type="dxa"/>
            <w:vMerge/>
          </w:tcPr>
          <w:p w14:paraId="13718484" w14:textId="77777777" w:rsidR="00B3669F" w:rsidRDefault="00B3669F" w:rsidP="00B3669F">
            <w:pPr>
              <w:pStyle w:val="BodyText"/>
            </w:pPr>
          </w:p>
        </w:tc>
        <w:tc>
          <w:tcPr>
            <w:tcW w:w="2157" w:type="dxa"/>
          </w:tcPr>
          <w:p w14:paraId="04F57D25" w14:textId="77777777" w:rsidR="00B3669F" w:rsidRDefault="00B3669F" w:rsidP="00B3669F">
            <w:pPr>
              <w:pStyle w:val="BodyText"/>
              <w:cnfStyle w:val="000000000000" w:firstRow="0" w:lastRow="0" w:firstColumn="0" w:lastColumn="0" w:oddVBand="0" w:evenVBand="0" w:oddHBand="0" w:evenHBand="0" w:firstRowFirstColumn="0" w:firstRowLastColumn="0" w:lastRowFirstColumn="0" w:lastRowLastColumn="0"/>
            </w:pPr>
            <w:r>
              <w:t>Coniferous</w:t>
            </w:r>
          </w:p>
        </w:tc>
        <w:tc>
          <w:tcPr>
            <w:tcW w:w="2158" w:type="dxa"/>
          </w:tcPr>
          <w:p w14:paraId="58CEB477" w14:textId="4E3CB2F5" w:rsidR="00B3669F" w:rsidRDefault="00377127" w:rsidP="00377127">
            <w:pPr>
              <w:pStyle w:val="BodyText"/>
              <w:cnfStyle w:val="000000000000" w:firstRow="0" w:lastRow="0" w:firstColumn="0" w:lastColumn="0" w:oddVBand="0" w:evenVBand="0" w:oddHBand="0" w:evenHBand="0" w:firstRowFirstColumn="0" w:firstRowLastColumn="0" w:lastRowFirstColumn="0" w:lastRowLastColumn="0"/>
            </w:pPr>
            <w:r>
              <w:t>57</w:t>
            </w:r>
            <w:r w:rsidR="00B3669F">
              <w:t>%</w:t>
            </w:r>
          </w:p>
        </w:tc>
        <w:tc>
          <w:tcPr>
            <w:tcW w:w="2158" w:type="dxa"/>
          </w:tcPr>
          <w:p w14:paraId="0CEE2E62" w14:textId="0B7C1070" w:rsidR="00B3669F" w:rsidRDefault="00B3669F" w:rsidP="00B3669F">
            <w:pPr>
              <w:pStyle w:val="BodyText"/>
              <w:cnfStyle w:val="000000000000" w:firstRow="0" w:lastRow="0" w:firstColumn="0" w:lastColumn="0" w:oddVBand="0" w:evenVBand="0" w:oddHBand="0" w:evenHBand="0" w:firstRowFirstColumn="0" w:firstRowLastColumn="0" w:lastRowFirstColumn="0" w:lastRowLastColumn="0"/>
            </w:pPr>
            <w:r>
              <w:t>0.4</w:t>
            </w:r>
            <w:r w:rsidR="00377127">
              <w:t>5</w:t>
            </w:r>
          </w:p>
        </w:tc>
      </w:tr>
    </w:tbl>
    <w:p w14:paraId="683659ED" w14:textId="77777777" w:rsidR="00975950" w:rsidRDefault="00975950" w:rsidP="00B3669F">
      <w:pPr>
        <w:pStyle w:val="BodyText"/>
      </w:pPr>
    </w:p>
    <w:p w14:paraId="6094A7EA" w14:textId="663EEA55" w:rsidR="00B3669F" w:rsidRDefault="00B3669F" w:rsidP="00B3669F">
      <w:pPr>
        <w:pStyle w:val="BodyText"/>
      </w:pPr>
      <w:r>
        <w:t>The model</w:t>
      </w:r>
      <w:r w:rsidR="007C4772">
        <w:t>-</w:t>
      </w:r>
      <w:r>
        <w:t xml:space="preserve">predicted interception capacities were higher in most cases than the reported literature values (Table 1), however, these reported values may not be directly comparable to the model </w:t>
      </w:r>
      <w:r w:rsidR="007357F0">
        <w:t>results</w:t>
      </w:r>
      <w:r>
        <w:t xml:space="preserve">. For example, </w:t>
      </w:r>
      <w:r w:rsidR="007C4772">
        <w:t>only a few</w:t>
      </w:r>
      <w:r>
        <w:t xml:space="preserve"> of these studies considered </w:t>
      </w:r>
      <w:r w:rsidR="0042690E">
        <w:t xml:space="preserve">larger </w:t>
      </w:r>
      <w:r>
        <w:t xml:space="preserve">events </w:t>
      </w:r>
      <w:r w:rsidR="0042690E">
        <w:t xml:space="preserve">(e.g. </w:t>
      </w:r>
      <w:r>
        <w:t>0.5”</w:t>
      </w:r>
      <w:r w:rsidR="0042690E">
        <w:t xml:space="preserve"> and larger)</w:t>
      </w:r>
      <w:r w:rsidR="00137725">
        <w:t xml:space="preserve"> and therefore the reported values may not be true capacities. </w:t>
      </w:r>
    </w:p>
    <w:p w14:paraId="41FA9C4A" w14:textId="12580011" w:rsidR="00137725" w:rsidRDefault="00137725" w:rsidP="00B3669F">
      <w:pPr>
        <w:pStyle w:val="BodyText"/>
      </w:pPr>
      <w:r>
        <w:t xml:space="preserve">Rather than compare these model results to the </w:t>
      </w:r>
      <w:r w:rsidR="007357F0">
        <w:t>results</w:t>
      </w:r>
      <w:r>
        <w:t xml:space="preserve"> of the meta-analysis, the results were compared to several studies that looked at interception as a function of gross precipitation</w:t>
      </w:r>
      <w:r w:rsidR="00BA3231">
        <w:t xml:space="preserve"> (Figures </w:t>
      </w:r>
      <w:r w:rsidR="00426A33">
        <w:t>2</w:t>
      </w:r>
      <w:r w:rsidR="00BA3231">
        <w:t xml:space="preserve"> through </w:t>
      </w:r>
      <w:r w:rsidR="00426A33">
        <w:t>4</w:t>
      </w:r>
      <w:r w:rsidR="00BA3231">
        <w:t>)</w:t>
      </w:r>
      <w:r>
        <w:t>. For these studies, the approximate median interception values for gross precipitation events of about 1.1</w:t>
      </w:r>
      <w:r w:rsidR="00D50833">
        <w:t xml:space="preserve"> inch</w:t>
      </w:r>
      <w:r w:rsidR="00975950">
        <w:t>es</w:t>
      </w:r>
      <w:r w:rsidR="00D50833">
        <w:t xml:space="preserve">, or 27.94 </w:t>
      </w:r>
      <w:r w:rsidR="00E97390">
        <w:t>millimeters</w:t>
      </w:r>
      <w:r>
        <w:t xml:space="preserve"> (the current regulatory event) were compared to the model results. In all cases, the model</w:t>
      </w:r>
      <w:r w:rsidR="00D50833">
        <w:t>ed interception depth</w:t>
      </w:r>
      <w:r w:rsidR="00AA0525">
        <w:t>s</w:t>
      </w:r>
      <w:r>
        <w:t xml:space="preserve"> </w:t>
      </w:r>
      <w:r w:rsidR="00D50833">
        <w:t xml:space="preserve">fall within the reported range of the studies </w:t>
      </w:r>
      <w:r>
        <w:t xml:space="preserve">(Table </w:t>
      </w:r>
      <w:r w:rsidR="00BA3231">
        <w:t>5</w:t>
      </w:r>
      <w:r>
        <w:t xml:space="preserve">). </w:t>
      </w:r>
    </w:p>
    <w:p w14:paraId="464AAC62" w14:textId="77777777" w:rsidR="00137725" w:rsidRDefault="00137725" w:rsidP="00B3669F">
      <w:pPr>
        <w:pStyle w:val="BodyText"/>
      </w:pPr>
    </w:p>
    <w:p w14:paraId="39C3FBDA" w14:textId="77777777" w:rsidR="00137725" w:rsidRDefault="00137725" w:rsidP="00B3669F">
      <w:pPr>
        <w:pStyle w:val="BodyText"/>
      </w:pPr>
      <w:r>
        <w:rPr>
          <w:noProof/>
        </w:rPr>
        <w:drawing>
          <wp:inline distT="0" distB="0" distL="0" distR="0" wp14:anchorId="63F4CCA7" wp14:editId="415C1A2E">
            <wp:extent cx="5486400" cy="2201152"/>
            <wp:effectExtent l="0" t="0" r="0" b="889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8"/>
                    <a:srcRect t="1186"/>
                    <a:stretch/>
                  </pic:blipFill>
                  <pic:spPr bwMode="auto">
                    <a:xfrm>
                      <a:off x="0" y="0"/>
                      <a:ext cx="5486400" cy="2201152"/>
                    </a:xfrm>
                    <a:prstGeom prst="rect">
                      <a:avLst/>
                    </a:prstGeom>
                    <a:ln>
                      <a:noFill/>
                    </a:ln>
                    <a:extLst>
                      <a:ext uri="{53640926-AAD7-44D8-BBD7-CCE9431645EC}">
                        <a14:shadowObscured xmlns:a14="http://schemas.microsoft.com/office/drawing/2010/main"/>
                      </a:ext>
                    </a:extLst>
                  </pic:spPr>
                </pic:pic>
              </a:graphicData>
            </a:graphic>
          </wp:inline>
        </w:drawing>
      </w:r>
    </w:p>
    <w:p w14:paraId="69B84C82" w14:textId="55074D4A" w:rsidR="00137725" w:rsidRPr="00BA3231" w:rsidRDefault="00137725" w:rsidP="00B3669F">
      <w:pPr>
        <w:pStyle w:val="BodyText"/>
        <w:rPr>
          <w:b/>
        </w:rPr>
      </w:pPr>
      <w:r w:rsidRPr="00137725">
        <w:rPr>
          <w:b/>
        </w:rPr>
        <w:t xml:space="preserve">Figure </w:t>
      </w:r>
      <w:r w:rsidR="00426A33">
        <w:rPr>
          <w:b/>
        </w:rPr>
        <w:t>2</w:t>
      </w:r>
      <w:r w:rsidRPr="00137725">
        <w:rPr>
          <w:b/>
        </w:rPr>
        <w:t>: Interception as a function of gross precipitation (</w:t>
      </w:r>
      <w:proofErr w:type="spellStart"/>
      <w:r w:rsidRPr="00137725">
        <w:rPr>
          <w:b/>
        </w:rPr>
        <w:t>Smets</w:t>
      </w:r>
      <w:proofErr w:type="spellEnd"/>
      <w:r w:rsidRPr="00137725">
        <w:rPr>
          <w:b/>
        </w:rPr>
        <w:t xml:space="preserve"> et al. 2019)</w:t>
      </w:r>
    </w:p>
    <w:p w14:paraId="5E5C0897" w14:textId="77777777" w:rsidR="00137725" w:rsidRDefault="00137725" w:rsidP="00B3669F">
      <w:pPr>
        <w:pStyle w:val="BodyText"/>
      </w:pPr>
      <w:r>
        <w:rPr>
          <w:noProof/>
        </w:rPr>
        <w:lastRenderedPageBreak/>
        <w:drawing>
          <wp:inline distT="0" distB="0" distL="0" distR="0" wp14:anchorId="7AAAF096" wp14:editId="0ADCA1C8">
            <wp:extent cx="5486400" cy="1849942"/>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7"/>
                    <a:srcRect b="10415"/>
                    <a:stretch/>
                  </pic:blipFill>
                  <pic:spPr bwMode="auto">
                    <a:xfrm>
                      <a:off x="0" y="0"/>
                      <a:ext cx="5486400" cy="1849942"/>
                    </a:xfrm>
                    <a:prstGeom prst="rect">
                      <a:avLst/>
                    </a:prstGeom>
                    <a:ln>
                      <a:noFill/>
                    </a:ln>
                    <a:extLst>
                      <a:ext uri="{53640926-AAD7-44D8-BBD7-CCE9431645EC}">
                        <a14:shadowObscured xmlns:a14="http://schemas.microsoft.com/office/drawing/2010/main"/>
                      </a:ext>
                    </a:extLst>
                  </pic:spPr>
                </pic:pic>
              </a:graphicData>
            </a:graphic>
          </wp:inline>
        </w:drawing>
      </w:r>
    </w:p>
    <w:p w14:paraId="400B41E4" w14:textId="142CE3CE" w:rsidR="00137725" w:rsidRPr="00BA3231" w:rsidRDefault="00137725" w:rsidP="00B3669F">
      <w:pPr>
        <w:pStyle w:val="BodyText"/>
        <w:rPr>
          <w:b/>
        </w:rPr>
      </w:pPr>
      <w:r w:rsidRPr="00137725">
        <w:rPr>
          <w:b/>
        </w:rPr>
        <w:t xml:space="preserve">Figure </w:t>
      </w:r>
      <w:r w:rsidR="00426A33">
        <w:rPr>
          <w:b/>
        </w:rPr>
        <w:t>3</w:t>
      </w:r>
      <w:r w:rsidRPr="00137725">
        <w:rPr>
          <w:b/>
        </w:rPr>
        <w:t xml:space="preserve">: Interception as a function of gross precipitation </w:t>
      </w:r>
      <w:r>
        <w:rPr>
          <w:b/>
        </w:rPr>
        <w:t>(</w:t>
      </w:r>
      <w:proofErr w:type="spellStart"/>
      <w:r>
        <w:rPr>
          <w:b/>
        </w:rPr>
        <w:t>Zabret</w:t>
      </w:r>
      <w:proofErr w:type="spellEnd"/>
      <w:r>
        <w:rPr>
          <w:b/>
        </w:rPr>
        <w:t xml:space="preserve"> et al</w:t>
      </w:r>
      <w:r w:rsidRPr="00137725">
        <w:rPr>
          <w:b/>
        </w:rPr>
        <w:t>. 2019)</w:t>
      </w:r>
    </w:p>
    <w:p w14:paraId="0AEB989B" w14:textId="77777777" w:rsidR="00137725" w:rsidRDefault="00137725" w:rsidP="00B3669F">
      <w:pPr>
        <w:pStyle w:val="BodyText"/>
      </w:pPr>
      <w:r>
        <w:rPr>
          <w:noProof/>
        </w:rPr>
        <w:drawing>
          <wp:inline distT="0" distB="0" distL="0" distR="0" wp14:anchorId="4B70CA6F" wp14:editId="4112E8F4">
            <wp:extent cx="5485797" cy="2885543"/>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9"/>
                    <a:srcRect t="11620" b="14615"/>
                    <a:stretch/>
                  </pic:blipFill>
                  <pic:spPr bwMode="auto">
                    <a:xfrm>
                      <a:off x="0" y="0"/>
                      <a:ext cx="5486400" cy="2885860"/>
                    </a:xfrm>
                    <a:prstGeom prst="rect">
                      <a:avLst/>
                    </a:prstGeom>
                    <a:ln>
                      <a:noFill/>
                    </a:ln>
                    <a:extLst>
                      <a:ext uri="{53640926-AAD7-44D8-BBD7-CCE9431645EC}">
                        <a14:shadowObscured xmlns:a14="http://schemas.microsoft.com/office/drawing/2010/main"/>
                      </a:ext>
                    </a:extLst>
                  </pic:spPr>
                </pic:pic>
              </a:graphicData>
            </a:graphic>
          </wp:inline>
        </w:drawing>
      </w:r>
    </w:p>
    <w:p w14:paraId="0B4A1E72" w14:textId="192C1A19" w:rsidR="00137725" w:rsidRDefault="00137725" w:rsidP="00B3669F">
      <w:pPr>
        <w:pStyle w:val="BodyText"/>
        <w:rPr>
          <w:b/>
        </w:rPr>
      </w:pPr>
      <w:r>
        <w:rPr>
          <w:b/>
        </w:rPr>
        <w:t xml:space="preserve">Figure </w:t>
      </w:r>
      <w:r w:rsidR="00426A33">
        <w:rPr>
          <w:b/>
        </w:rPr>
        <w:t>4</w:t>
      </w:r>
      <w:r>
        <w:rPr>
          <w:b/>
        </w:rPr>
        <w:t xml:space="preserve">: </w:t>
      </w:r>
      <w:r w:rsidRPr="00137725">
        <w:rPr>
          <w:b/>
        </w:rPr>
        <w:t xml:space="preserve">Interception as a function of gross precipitation </w:t>
      </w:r>
      <w:r>
        <w:rPr>
          <w:b/>
        </w:rPr>
        <w:t>(Hathaway,</w:t>
      </w:r>
      <w:r w:rsidRPr="00137725">
        <w:rPr>
          <w:b/>
        </w:rPr>
        <w:t xml:space="preserve"> 2019)</w:t>
      </w:r>
    </w:p>
    <w:p w14:paraId="584EE1EF" w14:textId="77777777" w:rsidR="00C6566E" w:rsidRDefault="00C6566E" w:rsidP="00B3669F">
      <w:pPr>
        <w:pStyle w:val="BodyText"/>
        <w:rPr>
          <w:b/>
        </w:rPr>
      </w:pPr>
    </w:p>
    <w:p w14:paraId="162862B4" w14:textId="77777777" w:rsidR="00426A33" w:rsidRDefault="00426A33" w:rsidP="00B3669F">
      <w:pPr>
        <w:pStyle w:val="BodyText"/>
        <w:rPr>
          <w:b/>
        </w:rPr>
      </w:pPr>
    </w:p>
    <w:p w14:paraId="265F4CF0" w14:textId="77777777" w:rsidR="00426A33" w:rsidRDefault="00426A33" w:rsidP="00B3669F">
      <w:pPr>
        <w:pStyle w:val="BodyText"/>
        <w:rPr>
          <w:b/>
        </w:rPr>
      </w:pPr>
    </w:p>
    <w:p w14:paraId="311759D9" w14:textId="77777777" w:rsidR="00426A33" w:rsidRDefault="00426A33" w:rsidP="00B3669F">
      <w:pPr>
        <w:pStyle w:val="BodyText"/>
        <w:rPr>
          <w:b/>
        </w:rPr>
      </w:pPr>
    </w:p>
    <w:p w14:paraId="67DE9852" w14:textId="77777777" w:rsidR="00426A33" w:rsidRDefault="00426A33" w:rsidP="00B3669F">
      <w:pPr>
        <w:pStyle w:val="BodyText"/>
        <w:rPr>
          <w:b/>
        </w:rPr>
      </w:pPr>
    </w:p>
    <w:p w14:paraId="61866E5C" w14:textId="77777777" w:rsidR="00426A33" w:rsidRDefault="00426A33" w:rsidP="00B3669F">
      <w:pPr>
        <w:pStyle w:val="BodyText"/>
        <w:rPr>
          <w:b/>
        </w:rPr>
      </w:pPr>
    </w:p>
    <w:p w14:paraId="7D44A0D3" w14:textId="77777777" w:rsidR="00426A33" w:rsidRDefault="00426A33" w:rsidP="00B3669F">
      <w:pPr>
        <w:pStyle w:val="BodyText"/>
        <w:rPr>
          <w:b/>
        </w:rPr>
      </w:pPr>
    </w:p>
    <w:p w14:paraId="4CDAC3F3" w14:textId="77777777" w:rsidR="00426A33" w:rsidRDefault="00426A33" w:rsidP="00B3669F">
      <w:pPr>
        <w:pStyle w:val="BodyText"/>
        <w:rPr>
          <w:b/>
        </w:rPr>
      </w:pPr>
    </w:p>
    <w:p w14:paraId="7F9C2082" w14:textId="77777777" w:rsidR="00426A33" w:rsidRDefault="00426A33" w:rsidP="00B3669F">
      <w:pPr>
        <w:pStyle w:val="BodyText"/>
        <w:rPr>
          <w:b/>
        </w:rPr>
      </w:pPr>
    </w:p>
    <w:p w14:paraId="23981643" w14:textId="77777777" w:rsidR="00426A33" w:rsidRDefault="00426A33" w:rsidP="00B3669F">
      <w:pPr>
        <w:pStyle w:val="BodyText"/>
        <w:rPr>
          <w:b/>
        </w:rPr>
      </w:pPr>
    </w:p>
    <w:p w14:paraId="1C9AC5B5" w14:textId="77777777" w:rsidR="00426A33" w:rsidRPr="00137725" w:rsidRDefault="00426A33" w:rsidP="00B3669F">
      <w:pPr>
        <w:pStyle w:val="BodyText"/>
        <w:rPr>
          <w:b/>
        </w:rPr>
      </w:pPr>
    </w:p>
    <w:p w14:paraId="52067B9B" w14:textId="048BC23A" w:rsidR="00137725" w:rsidRPr="00137725" w:rsidRDefault="00137725" w:rsidP="00B3669F">
      <w:pPr>
        <w:pStyle w:val="BodyText"/>
        <w:rPr>
          <w:b/>
        </w:rPr>
      </w:pPr>
      <w:r w:rsidRPr="00137725">
        <w:rPr>
          <w:b/>
        </w:rPr>
        <w:lastRenderedPageBreak/>
        <w:t xml:space="preserve">Table </w:t>
      </w:r>
      <w:r w:rsidR="00BA3231">
        <w:rPr>
          <w:b/>
        </w:rPr>
        <w:t>5</w:t>
      </w:r>
      <w:r w:rsidRPr="00137725">
        <w:rPr>
          <w:b/>
        </w:rPr>
        <w:t xml:space="preserve">: </w:t>
      </w:r>
      <w:r w:rsidR="00BA3231">
        <w:rPr>
          <w:b/>
        </w:rPr>
        <w:t>Model-Study Comparison of Interception Depths for a 1.1 Inch Even</w:t>
      </w:r>
      <w:r w:rsidRPr="00137725">
        <w:rPr>
          <w:b/>
        </w:rPr>
        <w:t>t</w:t>
      </w:r>
    </w:p>
    <w:tbl>
      <w:tblPr>
        <w:tblStyle w:val="PlainTable2"/>
        <w:tblW w:w="8010" w:type="dxa"/>
        <w:tblLook w:val="04A0" w:firstRow="1" w:lastRow="0" w:firstColumn="1" w:lastColumn="0" w:noHBand="0" w:noVBand="1"/>
      </w:tblPr>
      <w:tblGrid>
        <w:gridCol w:w="1530"/>
        <w:gridCol w:w="3240"/>
        <w:gridCol w:w="3240"/>
      </w:tblGrid>
      <w:tr w:rsidR="00137725" w:rsidRPr="00137725" w14:paraId="2542664F" w14:textId="77777777" w:rsidTr="008E45B4">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530" w:type="dxa"/>
            <w:vMerge w:val="restart"/>
            <w:noWrap/>
          </w:tcPr>
          <w:p w14:paraId="5DC0C997" w14:textId="77777777" w:rsidR="00137725" w:rsidRPr="00137725" w:rsidRDefault="00137725" w:rsidP="00137725">
            <w:pPr>
              <w:rPr>
                <w:rFonts w:ascii="Calibri" w:hAnsi="Calibri" w:cs="Calibri"/>
                <w:bCs w:val="0"/>
                <w:color w:val="000000"/>
                <w:szCs w:val="22"/>
              </w:rPr>
            </w:pPr>
            <w:r w:rsidRPr="00137725">
              <w:rPr>
                <w:rFonts w:ascii="Calibri" w:hAnsi="Calibri" w:cs="Calibri"/>
                <w:bCs w:val="0"/>
                <w:color w:val="000000"/>
                <w:szCs w:val="22"/>
              </w:rPr>
              <w:t>Study</w:t>
            </w:r>
          </w:p>
        </w:tc>
        <w:tc>
          <w:tcPr>
            <w:tcW w:w="6480" w:type="dxa"/>
            <w:gridSpan w:val="2"/>
            <w:noWrap/>
          </w:tcPr>
          <w:p w14:paraId="48028F5B" w14:textId="7F254505" w:rsidR="00137725" w:rsidRPr="00137725" w:rsidRDefault="009B2E91" w:rsidP="0013772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Median</w:t>
            </w:r>
            <w:r w:rsidRPr="00137725">
              <w:rPr>
                <w:rFonts w:ascii="Calibri" w:hAnsi="Calibri" w:cs="Calibri"/>
                <w:color w:val="000000"/>
                <w:szCs w:val="22"/>
              </w:rPr>
              <w:t xml:space="preserve"> </w:t>
            </w:r>
            <w:r w:rsidR="00137725" w:rsidRPr="00137725">
              <w:rPr>
                <w:rFonts w:ascii="Calibri" w:hAnsi="Calibri" w:cs="Calibri"/>
                <w:color w:val="000000"/>
                <w:szCs w:val="22"/>
              </w:rPr>
              <w:t>Interception</w:t>
            </w:r>
            <w:r>
              <w:rPr>
                <w:rFonts w:ascii="Calibri" w:hAnsi="Calibri" w:cs="Calibri"/>
                <w:color w:val="000000"/>
                <w:szCs w:val="22"/>
              </w:rPr>
              <w:t xml:space="preserve"> (inch)</w:t>
            </w:r>
            <w:r w:rsidR="00137725" w:rsidRPr="00137725">
              <w:rPr>
                <w:rFonts w:ascii="Calibri" w:hAnsi="Calibri" w:cs="Calibri"/>
                <w:color w:val="000000"/>
                <w:szCs w:val="22"/>
              </w:rPr>
              <w:t xml:space="preserve"> for </w:t>
            </w:r>
            <w:proofErr w:type="gramStart"/>
            <w:r w:rsidR="00137725" w:rsidRPr="00137725">
              <w:rPr>
                <w:rFonts w:ascii="Calibri" w:hAnsi="Calibri" w:cs="Calibri"/>
                <w:color w:val="000000"/>
                <w:szCs w:val="22"/>
              </w:rPr>
              <w:t>1.1</w:t>
            </w:r>
            <w:r>
              <w:rPr>
                <w:rFonts w:ascii="Calibri" w:hAnsi="Calibri" w:cs="Calibri"/>
                <w:color w:val="000000"/>
                <w:szCs w:val="22"/>
              </w:rPr>
              <w:t xml:space="preserve"> inch</w:t>
            </w:r>
            <w:proofErr w:type="gramEnd"/>
            <w:r w:rsidR="00137725" w:rsidRPr="00137725">
              <w:rPr>
                <w:rFonts w:ascii="Calibri" w:hAnsi="Calibri" w:cs="Calibri"/>
                <w:color w:val="000000"/>
                <w:szCs w:val="22"/>
              </w:rPr>
              <w:t xml:space="preserve"> event</w:t>
            </w:r>
            <w:r w:rsidR="002C04D8">
              <w:rPr>
                <w:rFonts w:ascii="Calibri" w:hAnsi="Calibri" w:cs="Calibri"/>
                <w:color w:val="000000"/>
                <w:szCs w:val="22"/>
              </w:rPr>
              <w:t xml:space="preserve"> and observed </w:t>
            </w:r>
            <w:r>
              <w:rPr>
                <w:rFonts w:ascii="Calibri" w:hAnsi="Calibri" w:cs="Calibri"/>
                <w:color w:val="000000"/>
                <w:szCs w:val="22"/>
              </w:rPr>
              <w:t>range</w:t>
            </w:r>
            <w:r w:rsidR="002C04D8">
              <w:rPr>
                <w:rFonts w:ascii="Calibri" w:hAnsi="Calibri" w:cs="Calibri"/>
                <w:color w:val="000000"/>
                <w:szCs w:val="22"/>
              </w:rPr>
              <w:t>s</w:t>
            </w:r>
            <w:r w:rsidR="00531132" w:rsidRPr="008E45B4">
              <w:rPr>
                <w:rFonts w:ascii="Calibri" w:hAnsi="Calibri" w:cs="Calibri"/>
                <w:color w:val="000000"/>
                <w:szCs w:val="22"/>
                <w:vertAlign w:val="superscript"/>
              </w:rPr>
              <w:t>1</w:t>
            </w:r>
          </w:p>
        </w:tc>
      </w:tr>
      <w:tr w:rsidR="00137725" w:rsidRPr="00137725" w14:paraId="75EE642F" w14:textId="77777777" w:rsidTr="008E45B4">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530" w:type="dxa"/>
            <w:vMerge/>
            <w:noWrap/>
          </w:tcPr>
          <w:p w14:paraId="7F5BACC7" w14:textId="77777777" w:rsidR="00137725" w:rsidRPr="00137725" w:rsidRDefault="00137725" w:rsidP="00137725">
            <w:pPr>
              <w:rPr>
                <w:rFonts w:ascii="Calibri" w:hAnsi="Calibri" w:cs="Calibri"/>
                <w:bCs w:val="0"/>
                <w:color w:val="000000"/>
                <w:szCs w:val="22"/>
              </w:rPr>
            </w:pPr>
          </w:p>
        </w:tc>
        <w:tc>
          <w:tcPr>
            <w:tcW w:w="3240" w:type="dxa"/>
            <w:noWrap/>
          </w:tcPr>
          <w:p w14:paraId="7B004474" w14:textId="77777777" w:rsidR="00137725" w:rsidRPr="00137725" w:rsidRDefault="00137725" w:rsidP="0013772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r w:rsidRPr="00137725">
              <w:rPr>
                <w:rFonts w:ascii="Calibri" w:hAnsi="Calibri" w:cs="Calibri"/>
                <w:b/>
                <w:color w:val="000000"/>
                <w:szCs w:val="22"/>
              </w:rPr>
              <w:t>Deciduous</w:t>
            </w:r>
          </w:p>
        </w:tc>
        <w:tc>
          <w:tcPr>
            <w:tcW w:w="3240" w:type="dxa"/>
            <w:noWrap/>
          </w:tcPr>
          <w:p w14:paraId="544F0136" w14:textId="77777777" w:rsidR="00137725" w:rsidRPr="00137725" w:rsidRDefault="00137725" w:rsidP="0013772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2"/>
              </w:rPr>
            </w:pPr>
            <w:r w:rsidRPr="00137725">
              <w:rPr>
                <w:rFonts w:ascii="Calibri" w:hAnsi="Calibri" w:cs="Calibri"/>
                <w:b/>
                <w:color w:val="000000"/>
                <w:szCs w:val="22"/>
              </w:rPr>
              <w:t>Coniferous</w:t>
            </w:r>
          </w:p>
        </w:tc>
      </w:tr>
      <w:tr w:rsidR="00137725" w:rsidRPr="00137725" w14:paraId="4CC7683A" w14:textId="77777777" w:rsidTr="008E45B4">
        <w:trPr>
          <w:trHeight w:val="668"/>
        </w:trPr>
        <w:tc>
          <w:tcPr>
            <w:cnfStyle w:val="001000000000" w:firstRow="0" w:lastRow="0" w:firstColumn="1" w:lastColumn="0" w:oddVBand="0" w:evenVBand="0" w:oddHBand="0" w:evenHBand="0" w:firstRowFirstColumn="0" w:firstRowLastColumn="0" w:lastRowFirstColumn="0" w:lastRowLastColumn="0"/>
            <w:tcW w:w="1530" w:type="dxa"/>
            <w:noWrap/>
            <w:hideMark/>
          </w:tcPr>
          <w:p w14:paraId="55864AAC" w14:textId="77777777" w:rsidR="00137725" w:rsidRPr="00137725" w:rsidRDefault="00137725" w:rsidP="00137725">
            <w:pPr>
              <w:rPr>
                <w:rFonts w:ascii="Calibri" w:hAnsi="Calibri" w:cs="Calibri"/>
                <w:color w:val="000000"/>
                <w:szCs w:val="22"/>
              </w:rPr>
            </w:pPr>
            <w:r w:rsidRPr="00137725">
              <w:rPr>
                <w:rFonts w:ascii="Calibri" w:hAnsi="Calibri" w:cs="Calibri"/>
                <w:color w:val="000000"/>
                <w:szCs w:val="22"/>
              </w:rPr>
              <w:t>Hathaway, 2019</w:t>
            </w:r>
          </w:p>
        </w:tc>
        <w:tc>
          <w:tcPr>
            <w:tcW w:w="3240" w:type="dxa"/>
            <w:noWrap/>
            <w:hideMark/>
          </w:tcPr>
          <w:p w14:paraId="2507D1BF" w14:textId="53D5C3E8" w:rsidR="00DE7F69" w:rsidRDefault="005800AD" w:rsidP="00DE7F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0.2</w:t>
            </w:r>
            <w:r w:rsidR="00DE7F69">
              <w:rPr>
                <w:rFonts w:ascii="Calibri" w:hAnsi="Calibri" w:cs="Calibri"/>
                <w:color w:val="000000"/>
                <w:szCs w:val="22"/>
              </w:rPr>
              <w:t xml:space="preserve"> (0.05-0.65)</w:t>
            </w:r>
          </w:p>
          <w:p w14:paraId="1BEB7C08" w14:textId="381C8750" w:rsidR="00137725" w:rsidRPr="00137725" w:rsidRDefault="005800AD" w:rsidP="005311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0.3</w:t>
            </w:r>
            <w:r w:rsidR="00DE7F69">
              <w:rPr>
                <w:rFonts w:ascii="Calibri" w:hAnsi="Calibri" w:cs="Calibri"/>
                <w:color w:val="000000"/>
                <w:szCs w:val="22"/>
              </w:rPr>
              <w:t xml:space="preserve"> (0.10-0.65)</w:t>
            </w:r>
          </w:p>
        </w:tc>
        <w:tc>
          <w:tcPr>
            <w:tcW w:w="3240" w:type="dxa"/>
            <w:noWrap/>
            <w:hideMark/>
          </w:tcPr>
          <w:p w14:paraId="340206B0" w14:textId="1DD2B96A" w:rsidR="00137725" w:rsidRPr="00137725" w:rsidRDefault="00137725" w:rsidP="0013772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37725">
              <w:rPr>
                <w:rFonts w:ascii="Calibri" w:hAnsi="Calibri" w:cs="Calibri"/>
                <w:color w:val="000000"/>
                <w:szCs w:val="22"/>
              </w:rPr>
              <w:t>0.35</w:t>
            </w:r>
            <w:r w:rsidR="00531132">
              <w:rPr>
                <w:rFonts w:ascii="Calibri" w:hAnsi="Calibri" w:cs="Calibri"/>
                <w:color w:val="000000"/>
                <w:szCs w:val="22"/>
              </w:rPr>
              <w:t xml:space="preserve"> (0.15-</w:t>
            </w:r>
            <w:r w:rsidR="00DE7F69">
              <w:rPr>
                <w:rFonts w:ascii="Calibri" w:hAnsi="Calibri" w:cs="Calibri"/>
                <w:color w:val="000000"/>
                <w:szCs w:val="22"/>
              </w:rPr>
              <w:t>0.8)</w:t>
            </w:r>
          </w:p>
        </w:tc>
      </w:tr>
      <w:tr w:rsidR="00137725" w:rsidRPr="00137725" w14:paraId="36062561" w14:textId="77777777" w:rsidTr="008E45B4">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530" w:type="dxa"/>
            <w:noWrap/>
            <w:hideMark/>
          </w:tcPr>
          <w:p w14:paraId="18F64E31" w14:textId="77777777" w:rsidR="00137725" w:rsidRPr="00137725" w:rsidRDefault="00137725" w:rsidP="00137725">
            <w:pPr>
              <w:rPr>
                <w:rFonts w:ascii="Calibri" w:hAnsi="Calibri" w:cs="Calibri"/>
                <w:color w:val="000000"/>
                <w:szCs w:val="22"/>
              </w:rPr>
            </w:pPr>
            <w:proofErr w:type="spellStart"/>
            <w:r w:rsidRPr="00137725">
              <w:rPr>
                <w:rFonts w:ascii="Calibri" w:hAnsi="Calibri" w:cs="Calibri"/>
                <w:color w:val="000000"/>
                <w:szCs w:val="22"/>
              </w:rPr>
              <w:t>Smets</w:t>
            </w:r>
            <w:proofErr w:type="spellEnd"/>
            <w:r w:rsidRPr="00137725">
              <w:rPr>
                <w:rFonts w:ascii="Calibri" w:hAnsi="Calibri" w:cs="Calibri"/>
                <w:color w:val="000000"/>
                <w:szCs w:val="22"/>
              </w:rPr>
              <w:t>, et. al., 2019</w:t>
            </w:r>
          </w:p>
        </w:tc>
        <w:tc>
          <w:tcPr>
            <w:tcW w:w="3240" w:type="dxa"/>
            <w:noWrap/>
            <w:hideMark/>
          </w:tcPr>
          <w:p w14:paraId="3C226E77" w14:textId="4AC9751F" w:rsidR="00137725" w:rsidRPr="00137725" w:rsidRDefault="00137725" w:rsidP="0013772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137725">
              <w:rPr>
                <w:rFonts w:ascii="Calibri" w:hAnsi="Calibri" w:cs="Calibri"/>
                <w:color w:val="000000"/>
                <w:szCs w:val="22"/>
              </w:rPr>
              <w:t>0.3</w:t>
            </w:r>
            <w:r w:rsidR="00531132">
              <w:rPr>
                <w:rFonts w:ascii="Calibri" w:hAnsi="Calibri" w:cs="Calibri"/>
                <w:color w:val="000000"/>
                <w:szCs w:val="22"/>
              </w:rPr>
              <w:t>0</w:t>
            </w:r>
          </w:p>
        </w:tc>
        <w:tc>
          <w:tcPr>
            <w:tcW w:w="3240" w:type="dxa"/>
            <w:noWrap/>
            <w:hideMark/>
          </w:tcPr>
          <w:p w14:paraId="0FF49BB5" w14:textId="77777777" w:rsidR="00137725" w:rsidRPr="00137725" w:rsidRDefault="00137725" w:rsidP="0013772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137725">
              <w:rPr>
                <w:rFonts w:ascii="Calibri" w:hAnsi="Calibri" w:cs="Calibri"/>
                <w:color w:val="000000"/>
                <w:szCs w:val="22"/>
              </w:rPr>
              <w:t>-</w:t>
            </w:r>
          </w:p>
        </w:tc>
      </w:tr>
      <w:tr w:rsidR="00137725" w:rsidRPr="00137725" w14:paraId="365F535D" w14:textId="77777777" w:rsidTr="008E45B4">
        <w:trPr>
          <w:trHeight w:val="578"/>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4D4BDAD" w14:textId="0B448167" w:rsidR="00137725" w:rsidRPr="00137725" w:rsidRDefault="00137725" w:rsidP="00137725">
            <w:pPr>
              <w:rPr>
                <w:rFonts w:ascii="Calibri" w:hAnsi="Calibri" w:cs="Calibri"/>
                <w:color w:val="000000"/>
                <w:szCs w:val="22"/>
              </w:rPr>
            </w:pPr>
            <w:proofErr w:type="spellStart"/>
            <w:r w:rsidRPr="00137725">
              <w:rPr>
                <w:rFonts w:ascii="Calibri" w:hAnsi="Calibri" w:cs="Calibri"/>
                <w:color w:val="000000"/>
                <w:szCs w:val="22"/>
              </w:rPr>
              <w:t>Zabret</w:t>
            </w:r>
            <w:proofErr w:type="spellEnd"/>
            <w:r w:rsidRPr="00137725">
              <w:rPr>
                <w:rFonts w:ascii="Calibri" w:hAnsi="Calibri" w:cs="Calibri"/>
                <w:color w:val="000000"/>
                <w:szCs w:val="22"/>
              </w:rPr>
              <w:t>, et. al., 2019</w:t>
            </w:r>
            <w:r w:rsidR="00531132" w:rsidRPr="008E45B4">
              <w:rPr>
                <w:rFonts w:ascii="Calibri" w:hAnsi="Calibri" w:cs="Calibri"/>
                <w:color w:val="000000"/>
                <w:szCs w:val="22"/>
                <w:vertAlign w:val="superscript"/>
              </w:rPr>
              <w:t>2</w:t>
            </w:r>
          </w:p>
        </w:tc>
        <w:tc>
          <w:tcPr>
            <w:tcW w:w="3240" w:type="dxa"/>
            <w:noWrap/>
            <w:hideMark/>
          </w:tcPr>
          <w:p w14:paraId="107D5B9C" w14:textId="2D9EF7EF" w:rsidR="00137725" w:rsidRPr="00137725" w:rsidRDefault="00137725" w:rsidP="0013772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37725">
              <w:rPr>
                <w:rFonts w:ascii="Calibri" w:hAnsi="Calibri" w:cs="Calibri"/>
                <w:color w:val="000000"/>
                <w:szCs w:val="22"/>
              </w:rPr>
              <w:t>0.1</w:t>
            </w:r>
            <w:r w:rsidR="00531132">
              <w:rPr>
                <w:rFonts w:ascii="Calibri" w:hAnsi="Calibri" w:cs="Calibri"/>
                <w:color w:val="000000"/>
                <w:szCs w:val="22"/>
              </w:rPr>
              <w:t>7 (0.06-0.33)</w:t>
            </w:r>
          </w:p>
        </w:tc>
        <w:tc>
          <w:tcPr>
            <w:tcW w:w="3240" w:type="dxa"/>
            <w:noWrap/>
            <w:hideMark/>
          </w:tcPr>
          <w:p w14:paraId="34302745" w14:textId="469A6537" w:rsidR="00137725" w:rsidRPr="00137725" w:rsidRDefault="00137725" w:rsidP="005311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37725">
              <w:rPr>
                <w:rFonts w:ascii="Calibri" w:hAnsi="Calibri" w:cs="Calibri"/>
                <w:color w:val="000000"/>
                <w:szCs w:val="22"/>
              </w:rPr>
              <w:t>0.3</w:t>
            </w:r>
            <w:r w:rsidR="00531132">
              <w:rPr>
                <w:rFonts w:ascii="Calibri" w:hAnsi="Calibri" w:cs="Calibri"/>
                <w:color w:val="000000"/>
                <w:szCs w:val="22"/>
              </w:rPr>
              <w:t>3 (0.08-0.50)</w:t>
            </w:r>
          </w:p>
        </w:tc>
      </w:tr>
      <w:tr w:rsidR="00DE7F69" w:rsidRPr="00137725" w14:paraId="7F47503E" w14:textId="77777777" w:rsidTr="008E45B4">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530" w:type="dxa"/>
            <w:noWrap/>
          </w:tcPr>
          <w:p w14:paraId="21D43669" w14:textId="6DDE61D7" w:rsidR="00DE7F69" w:rsidRPr="00137725" w:rsidRDefault="00DE7F69" w:rsidP="00137725">
            <w:pPr>
              <w:rPr>
                <w:rFonts w:ascii="Calibri" w:hAnsi="Calibri" w:cs="Calibri"/>
                <w:color w:val="000000"/>
                <w:szCs w:val="22"/>
              </w:rPr>
            </w:pPr>
            <w:r>
              <w:rPr>
                <w:rFonts w:ascii="Calibri" w:hAnsi="Calibri" w:cs="Calibri"/>
                <w:color w:val="000000"/>
                <w:szCs w:val="22"/>
              </w:rPr>
              <w:t xml:space="preserve">Modeling Analysis </w:t>
            </w:r>
          </w:p>
        </w:tc>
        <w:tc>
          <w:tcPr>
            <w:tcW w:w="3240" w:type="dxa"/>
            <w:noWrap/>
          </w:tcPr>
          <w:p w14:paraId="6538115D" w14:textId="075C771C" w:rsidR="00DE7F69" w:rsidRPr="00137725" w:rsidRDefault="00DE7F69" w:rsidP="0013772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0.11-0.14</w:t>
            </w:r>
          </w:p>
        </w:tc>
        <w:tc>
          <w:tcPr>
            <w:tcW w:w="3240" w:type="dxa"/>
            <w:noWrap/>
          </w:tcPr>
          <w:p w14:paraId="32FF17F8" w14:textId="3A6304BF" w:rsidR="00DE7F69" w:rsidRPr="00137725" w:rsidRDefault="00DE7F69" w:rsidP="003771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0.</w:t>
            </w:r>
            <w:r w:rsidR="00377127">
              <w:rPr>
                <w:rFonts w:ascii="Calibri" w:hAnsi="Calibri" w:cs="Calibri"/>
                <w:color w:val="000000"/>
                <w:szCs w:val="22"/>
              </w:rPr>
              <w:t>40</w:t>
            </w:r>
            <w:r>
              <w:rPr>
                <w:rFonts w:ascii="Calibri" w:hAnsi="Calibri" w:cs="Calibri"/>
                <w:color w:val="000000"/>
                <w:szCs w:val="22"/>
              </w:rPr>
              <w:t>-0.4</w:t>
            </w:r>
            <w:r w:rsidR="00377127">
              <w:rPr>
                <w:rFonts w:ascii="Calibri" w:hAnsi="Calibri" w:cs="Calibri"/>
                <w:color w:val="000000"/>
                <w:szCs w:val="22"/>
              </w:rPr>
              <w:t>5</w:t>
            </w:r>
          </w:p>
        </w:tc>
      </w:tr>
    </w:tbl>
    <w:p w14:paraId="1F7309C4" w14:textId="05F226B5" w:rsidR="00531132" w:rsidRPr="008E45B4" w:rsidRDefault="00531132" w:rsidP="008E45B4">
      <w:pPr>
        <w:pStyle w:val="BodyText"/>
        <w:spacing w:before="0" w:after="0"/>
        <w:rPr>
          <w:i/>
        </w:rPr>
      </w:pPr>
      <w:r>
        <w:rPr>
          <w:i/>
          <w:vertAlign w:val="superscript"/>
        </w:rPr>
        <w:t>1</w:t>
      </w:r>
      <w:r>
        <w:rPr>
          <w:i/>
        </w:rPr>
        <w:t xml:space="preserve"> Approximation of result</w:t>
      </w:r>
      <w:r w:rsidR="008E45B4">
        <w:rPr>
          <w:i/>
        </w:rPr>
        <w:t>s</w:t>
      </w:r>
      <w:r>
        <w:rPr>
          <w:i/>
        </w:rPr>
        <w:t xml:space="preserve"> based on visual inspection of graphic. The estimates for the range of interception for a 1.1” event shown in parentheses are also based on visual inspection. </w:t>
      </w:r>
    </w:p>
    <w:p w14:paraId="36DB5FAB" w14:textId="4FDAFEEF" w:rsidR="00DE7F69" w:rsidRPr="008E45B4" w:rsidRDefault="00531132" w:rsidP="008E45B4">
      <w:pPr>
        <w:pStyle w:val="BodyText"/>
        <w:spacing w:before="0" w:after="0"/>
        <w:rPr>
          <w:i/>
        </w:rPr>
      </w:pPr>
      <w:r w:rsidRPr="008E45B4">
        <w:rPr>
          <w:i/>
          <w:vertAlign w:val="superscript"/>
        </w:rPr>
        <w:t>2</w:t>
      </w:r>
      <w:r w:rsidR="00DE7F69" w:rsidRPr="008E45B4">
        <w:rPr>
          <w:i/>
        </w:rPr>
        <w:t xml:space="preserve"> A representative I/P [%] for 27.94 mm of rainfall was selected off the graphic and multiplied by 27.94 mm to estimate interception in mm. I/P*Rainfall = Interception.</w:t>
      </w:r>
    </w:p>
    <w:p w14:paraId="020DF3B3" w14:textId="416BB346" w:rsidR="005800AD" w:rsidRDefault="005800AD" w:rsidP="00B3669F">
      <w:pPr>
        <w:pStyle w:val="BodyText"/>
      </w:pPr>
      <w:r>
        <w:br/>
        <w:t xml:space="preserve">The results from </w:t>
      </w:r>
      <w:proofErr w:type="spellStart"/>
      <w:r>
        <w:t>Smets</w:t>
      </w:r>
      <w:proofErr w:type="spellEnd"/>
      <w:r>
        <w:t xml:space="preserve"> et al</w:t>
      </w:r>
      <w:r w:rsidR="00C6566E">
        <w:t>. (2019)</w:t>
      </w:r>
      <w:r>
        <w:t xml:space="preserve">, </w:t>
      </w:r>
      <w:proofErr w:type="spellStart"/>
      <w:r>
        <w:t>Zabret</w:t>
      </w:r>
      <w:proofErr w:type="spellEnd"/>
      <w:r>
        <w:t>, et al</w:t>
      </w:r>
      <w:r w:rsidR="00C6566E">
        <w:t>. (2019)</w:t>
      </w:r>
      <w:r>
        <w:t>, and Hath</w:t>
      </w:r>
      <w:r w:rsidR="00D50833">
        <w:t>a</w:t>
      </w:r>
      <w:r>
        <w:t>way</w:t>
      </w:r>
      <w:r w:rsidR="00C6566E">
        <w:t xml:space="preserve"> (2019)</w:t>
      </w:r>
      <w:r w:rsidR="00D50833">
        <w:t xml:space="preserve"> </w:t>
      </w:r>
      <w:r w:rsidR="00BA3231">
        <w:t xml:space="preserve">studies </w:t>
      </w:r>
      <w:r>
        <w:t>demonstrate that interception varies considerably at a</w:t>
      </w:r>
      <w:r w:rsidR="00D50833">
        <w:t>ny</w:t>
      </w:r>
      <w:r>
        <w:t xml:space="preserve"> given </w:t>
      </w:r>
      <w:r w:rsidR="00BA3231">
        <w:t xml:space="preserve">rainfall </w:t>
      </w:r>
      <w:r>
        <w:t xml:space="preserve">depth, but they show that the model results are within the typical ranges and therefore validate the model. </w:t>
      </w:r>
    </w:p>
    <w:p w14:paraId="0FA9E3F1" w14:textId="01544A40" w:rsidR="00374880" w:rsidRDefault="00374880" w:rsidP="00374880">
      <w:pPr>
        <w:pStyle w:val="MemoHeading2"/>
      </w:pPr>
      <w:r>
        <w:t>Model Recommendations</w:t>
      </w:r>
    </w:p>
    <w:p w14:paraId="3C59A0EC" w14:textId="77777777" w:rsidR="00374880" w:rsidRDefault="00374880" w:rsidP="00374880">
      <w:pPr>
        <w:pStyle w:val="BodyText"/>
      </w:pPr>
      <w:r>
        <w:t xml:space="preserve">Both models perform well, but the storm-discrete has two advantages. </w:t>
      </w:r>
    </w:p>
    <w:p w14:paraId="557F4644" w14:textId="77777777" w:rsidR="00374880" w:rsidRDefault="00374880" w:rsidP="00374880">
      <w:pPr>
        <w:pStyle w:val="BodyText"/>
        <w:numPr>
          <w:ilvl w:val="0"/>
          <w:numId w:val="3"/>
        </w:numPr>
      </w:pPr>
      <w:r>
        <w:t xml:space="preserve">the predicted interception depths match the </w:t>
      </w:r>
      <w:proofErr w:type="spellStart"/>
      <w:r>
        <w:t>Smets</w:t>
      </w:r>
      <w:proofErr w:type="spellEnd"/>
      <w:r>
        <w:t xml:space="preserve">, </w:t>
      </w:r>
      <w:proofErr w:type="spellStart"/>
      <w:r>
        <w:t>Zabret</w:t>
      </w:r>
      <w:proofErr w:type="spellEnd"/>
      <w:r>
        <w:t>, and Hathaway findings slightly better and</w:t>
      </w:r>
    </w:p>
    <w:p w14:paraId="0EB771F4" w14:textId="77777777" w:rsidR="00374880" w:rsidRDefault="00374880" w:rsidP="00374880">
      <w:pPr>
        <w:pStyle w:val="BodyText"/>
        <w:numPr>
          <w:ilvl w:val="0"/>
          <w:numId w:val="3"/>
        </w:numPr>
      </w:pPr>
      <w:r>
        <w:t xml:space="preserve">the storm discrete model mimics how the credit is evaluated.  </w:t>
      </w:r>
    </w:p>
    <w:p w14:paraId="2E9B498D" w14:textId="42FB2B23" w:rsidR="00374880" w:rsidRDefault="00374880" w:rsidP="00374880">
      <w:pPr>
        <w:pStyle w:val="BodyText"/>
        <w:rPr>
          <w:b/>
        </w:rPr>
      </w:pPr>
      <w:r>
        <w:t xml:space="preserve">Given these advantages, </w:t>
      </w:r>
      <w:proofErr w:type="spellStart"/>
      <w:r w:rsidRPr="005800AD">
        <w:rPr>
          <w:b/>
        </w:rPr>
        <w:t>LimnoTech</w:t>
      </w:r>
      <w:proofErr w:type="spellEnd"/>
      <w:r w:rsidRPr="005800AD">
        <w:rPr>
          <w:b/>
        </w:rPr>
        <w:t xml:space="preserve"> recommends that the in</w:t>
      </w:r>
      <w:r>
        <w:rPr>
          <w:b/>
        </w:rPr>
        <w:t>ter</w:t>
      </w:r>
      <w:r w:rsidRPr="005800AD">
        <w:rPr>
          <w:b/>
        </w:rPr>
        <w:t>ception credit for deciduous trees be updated to 0.14” and the interception credit for coniferous trees be updated to 0.</w:t>
      </w:r>
      <w:r w:rsidR="00377127">
        <w:rPr>
          <w:b/>
        </w:rPr>
        <w:t>4</w:t>
      </w:r>
      <w:r w:rsidR="00F95E5F">
        <w:rPr>
          <w:b/>
        </w:rPr>
        <w:t>0</w:t>
      </w:r>
      <w:r w:rsidRPr="005800AD">
        <w:rPr>
          <w:b/>
        </w:rPr>
        <w:t>”.</w:t>
      </w:r>
    </w:p>
    <w:p w14:paraId="16DF7BE3" w14:textId="77777777" w:rsidR="00374880" w:rsidRDefault="00374880" w:rsidP="00B3669F">
      <w:pPr>
        <w:pStyle w:val="BodyText"/>
      </w:pPr>
    </w:p>
    <w:p w14:paraId="33DACCDE" w14:textId="77777777" w:rsidR="00BA3231" w:rsidRDefault="00BA3231" w:rsidP="00BA3231">
      <w:pPr>
        <w:pStyle w:val="MemoHeading1"/>
      </w:pPr>
      <w:r>
        <w:t>Proposed Draft Update to MIDS</w:t>
      </w:r>
    </w:p>
    <w:p w14:paraId="6BF24281" w14:textId="77777777" w:rsidR="00BA3231" w:rsidRDefault="00BA3231" w:rsidP="00BA3231">
      <w:pPr>
        <w:pStyle w:val="BodyText"/>
      </w:pPr>
      <w:r>
        <w:t xml:space="preserve">The current version of MIDS uses performance curves based on the instantaneous retention volume of a BMP, which includes the interception capacity, to determine the annual performance. The specific performance curve that is employed by MIDS is dependent on the drainage area characteristics and infiltration characteristics of the underlying soil. While this approach is appropriate for the volume of runoff that is </w:t>
      </w:r>
      <w:r>
        <w:rPr>
          <w:i/>
        </w:rPr>
        <w:t>retained</w:t>
      </w:r>
      <w:r>
        <w:t xml:space="preserve"> in a BMP, the volume that is </w:t>
      </w:r>
      <w:r>
        <w:rPr>
          <w:i/>
        </w:rPr>
        <w:t>intercepted</w:t>
      </w:r>
      <w:r>
        <w:t xml:space="preserve"> should be factored into performance separately. </w:t>
      </w:r>
    </w:p>
    <w:p w14:paraId="47EE313E" w14:textId="6A610A34" w:rsidR="00BA3231" w:rsidRDefault="00BA3231" w:rsidP="00BA3231">
      <w:pPr>
        <w:pStyle w:val="BodyText"/>
      </w:pPr>
      <w:proofErr w:type="spellStart"/>
      <w:r>
        <w:t>LimnoTech</w:t>
      </w:r>
      <w:proofErr w:type="spellEnd"/>
      <w:r>
        <w:t xml:space="preserve"> drafted an update to MIDS that breaks out the performance calculations: the established performance curves are used for throughfall precipitation and runoff that is routed to </w:t>
      </w:r>
      <w:r>
        <w:lastRenderedPageBreak/>
        <w:t xml:space="preserve">a trench or tree box, while intercepted rainfall is factored separately into runoff reduction performance. </w:t>
      </w:r>
      <w:proofErr w:type="spellStart"/>
      <w:r>
        <w:t>LimnoTech</w:t>
      </w:r>
      <w:proofErr w:type="spellEnd"/>
      <w:r>
        <w:t xml:space="preserve"> set the annual performance for interception to the average annual performances calculated in the meta-analysis (5</w:t>
      </w:r>
      <w:r w:rsidR="00377127">
        <w:t>7</w:t>
      </w:r>
      <w:r>
        <w:t xml:space="preserve">% for coniferous, 30% for deciduous). </w:t>
      </w:r>
    </w:p>
    <w:p w14:paraId="17E40466" w14:textId="17C0027F" w:rsidR="00BA3231" w:rsidRDefault="00BA3231" w:rsidP="00BA3231">
      <w:pPr>
        <w:pStyle w:val="BodyText"/>
      </w:pPr>
      <w:r>
        <w:t xml:space="preserve">A comparison of the current and draft MIDS is shown in Table </w:t>
      </w:r>
      <w:r w:rsidR="00C611D4">
        <w:t xml:space="preserve">6 </w:t>
      </w:r>
      <w:r>
        <w:t xml:space="preserve">for a scenario with 10 large deciduous trees in a trench with an underdrain on a site with one impervious acre and one turf acre draining to the trench, where only interception storage capacity is credited. </w:t>
      </w:r>
    </w:p>
    <w:p w14:paraId="21896D9C" w14:textId="4BF1F6C4" w:rsidR="00D608CD" w:rsidRDefault="00D608CD">
      <w:pPr>
        <w:rPr>
          <w:rFonts w:ascii="Georgia" w:hAnsi="Georgia"/>
          <w:b/>
          <w:sz w:val="20"/>
          <w:szCs w:val="24"/>
        </w:rPr>
      </w:pPr>
    </w:p>
    <w:p w14:paraId="056DFAD2" w14:textId="1C949433" w:rsidR="00BA3231" w:rsidRPr="00E74FC9" w:rsidRDefault="00BA3231" w:rsidP="00BA3231">
      <w:pPr>
        <w:pStyle w:val="BodyText"/>
        <w:rPr>
          <w:b/>
        </w:rPr>
      </w:pPr>
      <w:r w:rsidRPr="00E74FC9">
        <w:rPr>
          <w:b/>
        </w:rPr>
        <w:t xml:space="preserve">Table </w:t>
      </w:r>
      <w:r w:rsidR="00426A33">
        <w:rPr>
          <w:b/>
        </w:rPr>
        <w:t>6</w:t>
      </w:r>
      <w:r w:rsidRPr="00E74FC9">
        <w:rPr>
          <w:b/>
        </w:rPr>
        <w:t xml:space="preserve">: MIDS methodological comparison </w:t>
      </w:r>
    </w:p>
    <w:p w14:paraId="673BFE70" w14:textId="77777777" w:rsidR="00BA3231" w:rsidRDefault="00BA3231" w:rsidP="00BA3231">
      <w:pPr>
        <w:pStyle w:val="BodyText"/>
      </w:pPr>
      <w:r w:rsidRPr="006E0EF8">
        <w:rPr>
          <w:noProof/>
        </w:rPr>
        <w:drawing>
          <wp:inline distT="0" distB="0" distL="0" distR="0" wp14:anchorId="1C52BB59" wp14:editId="2CEA05EC">
            <wp:extent cx="5486400" cy="3183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6400" cy="3183880"/>
                    </a:xfrm>
                    <a:prstGeom prst="rect">
                      <a:avLst/>
                    </a:prstGeom>
                    <a:noFill/>
                    <a:ln>
                      <a:noFill/>
                    </a:ln>
                  </pic:spPr>
                </pic:pic>
              </a:graphicData>
            </a:graphic>
          </wp:inline>
        </w:drawing>
      </w:r>
    </w:p>
    <w:p w14:paraId="039CF8B7" w14:textId="104CDDD9" w:rsidR="00BA3231" w:rsidRDefault="00BA3231" w:rsidP="00BA3231">
      <w:pPr>
        <w:pStyle w:val="BodyText"/>
      </w:pPr>
      <w:r>
        <w:t xml:space="preserve">In the current MIDS, interception credit is factored into the infiltration performance. For this </w:t>
      </w:r>
      <w:proofErr w:type="gramStart"/>
      <w:r>
        <w:t>10 tree</w:t>
      </w:r>
      <w:proofErr w:type="gramEnd"/>
      <w:r>
        <w:t xml:space="preserve"> scenario, the annual performance of the tree trench is 1.09% (Table </w:t>
      </w:r>
      <w:r w:rsidR="00C611D4">
        <w:t>6</w:t>
      </w:r>
      <w:r>
        <w:t xml:space="preserve">, Option A). However, if the annual interception performance from the literature of 30% is factored into the total runoff on the site, the overall site performance is increased from 1.09% to 1.7% (Table </w:t>
      </w:r>
      <w:r w:rsidR="00C611D4">
        <w:t>7</w:t>
      </w:r>
      <w:r>
        <w:t>). The current MIDS version only estimates an interception performance of 19%</w:t>
      </w:r>
      <w:r w:rsidR="00B4438D">
        <w:t xml:space="preserve"> for this specific case</w:t>
      </w:r>
      <w:r>
        <w:t>, although</w:t>
      </w:r>
      <w:r w:rsidR="00B4438D">
        <w:t xml:space="preserve"> this number would vary for different scenarios as MIDS currently</w:t>
      </w:r>
      <w:r w:rsidR="0008004D">
        <w:t xml:space="preserve"> and incorrectly</w:t>
      </w:r>
      <w:r>
        <w:t xml:space="preserve"> derive</w:t>
      </w:r>
      <w:r w:rsidR="00B4438D">
        <w:t>s long-term interception performance</w:t>
      </w:r>
      <w:r>
        <w:t xml:space="preserve"> from </w:t>
      </w:r>
      <w:proofErr w:type="gramStart"/>
      <w:r>
        <w:t>infiltration based</w:t>
      </w:r>
      <w:proofErr w:type="gramEnd"/>
      <w:r>
        <w:t xml:space="preserve"> performance metrics. </w:t>
      </w:r>
    </w:p>
    <w:p w14:paraId="37FE38C8" w14:textId="0B061796" w:rsidR="00BA3231" w:rsidRPr="00E74FC9" w:rsidRDefault="00BA3231" w:rsidP="00BA3231">
      <w:pPr>
        <w:pStyle w:val="BodyText"/>
        <w:rPr>
          <w:b/>
        </w:rPr>
      </w:pPr>
      <w:r>
        <w:rPr>
          <w:b/>
        </w:rPr>
        <w:t xml:space="preserve">Table </w:t>
      </w:r>
      <w:r w:rsidR="00426A33">
        <w:rPr>
          <w:b/>
        </w:rPr>
        <w:t>7</w:t>
      </w:r>
      <w:r>
        <w:rPr>
          <w:b/>
        </w:rPr>
        <w:t>: Site wide Performance</w:t>
      </w:r>
    </w:p>
    <w:tbl>
      <w:tblPr>
        <w:tblW w:w="4184" w:type="dxa"/>
        <w:tblLook w:val="04A0" w:firstRow="1" w:lastRow="0" w:firstColumn="1" w:lastColumn="0" w:noHBand="0" w:noVBand="1"/>
      </w:tblPr>
      <w:tblGrid>
        <w:gridCol w:w="2088"/>
        <w:gridCol w:w="1048"/>
        <w:gridCol w:w="1083"/>
      </w:tblGrid>
      <w:tr w:rsidR="00BA3231" w:rsidRPr="00E74FC9" w14:paraId="596CD1C6" w14:textId="77777777" w:rsidTr="00901EF6">
        <w:trPr>
          <w:trHeight w:val="293"/>
        </w:trPr>
        <w:tc>
          <w:tcPr>
            <w:tcW w:w="2088" w:type="dxa"/>
            <w:tcBorders>
              <w:top w:val="single" w:sz="8" w:space="0" w:color="auto"/>
              <w:left w:val="single" w:sz="8" w:space="0" w:color="auto"/>
              <w:bottom w:val="nil"/>
              <w:right w:val="nil"/>
            </w:tcBorders>
            <w:shd w:val="clear" w:color="000000" w:fill="F2F2F2"/>
            <w:noWrap/>
            <w:vAlign w:val="bottom"/>
            <w:hideMark/>
          </w:tcPr>
          <w:p w14:paraId="2ED52241" w14:textId="77777777" w:rsidR="00BA3231" w:rsidRPr="00E74FC9" w:rsidRDefault="00BA3231" w:rsidP="00901EF6">
            <w:pPr>
              <w:rPr>
                <w:rFonts w:ascii="Calibri" w:hAnsi="Calibri" w:cs="Calibri"/>
                <w:szCs w:val="22"/>
              </w:rPr>
            </w:pPr>
            <w:r w:rsidRPr="00E74FC9">
              <w:rPr>
                <w:rFonts w:ascii="Calibri" w:hAnsi="Calibri" w:cs="Calibri"/>
                <w:szCs w:val="22"/>
              </w:rPr>
              <w:t> </w:t>
            </w:r>
          </w:p>
        </w:tc>
        <w:tc>
          <w:tcPr>
            <w:tcW w:w="1048" w:type="dxa"/>
            <w:tcBorders>
              <w:top w:val="single" w:sz="8" w:space="0" w:color="auto"/>
              <w:left w:val="nil"/>
              <w:bottom w:val="single" w:sz="8" w:space="0" w:color="auto"/>
              <w:right w:val="nil"/>
            </w:tcBorders>
            <w:shd w:val="clear" w:color="000000" w:fill="F2F2F2"/>
            <w:noWrap/>
            <w:vAlign w:val="bottom"/>
            <w:hideMark/>
          </w:tcPr>
          <w:p w14:paraId="418FEA09" w14:textId="77777777" w:rsidR="00BA3231" w:rsidRPr="00E74FC9" w:rsidRDefault="00BA3231" w:rsidP="00901EF6">
            <w:pPr>
              <w:jc w:val="center"/>
              <w:rPr>
                <w:rFonts w:ascii="Calibri" w:hAnsi="Calibri" w:cs="Calibri"/>
                <w:b/>
                <w:bCs/>
                <w:szCs w:val="22"/>
              </w:rPr>
            </w:pPr>
            <w:r>
              <w:rPr>
                <w:rFonts w:ascii="Calibri" w:hAnsi="Calibri" w:cs="Calibri"/>
                <w:b/>
                <w:bCs/>
                <w:szCs w:val="22"/>
              </w:rPr>
              <w:t>Current MIDS</w:t>
            </w:r>
          </w:p>
        </w:tc>
        <w:tc>
          <w:tcPr>
            <w:tcW w:w="1048" w:type="dxa"/>
            <w:tcBorders>
              <w:top w:val="single" w:sz="8" w:space="0" w:color="auto"/>
              <w:left w:val="nil"/>
              <w:bottom w:val="single" w:sz="8" w:space="0" w:color="auto"/>
              <w:right w:val="single" w:sz="8" w:space="0" w:color="auto"/>
            </w:tcBorders>
            <w:shd w:val="clear" w:color="000000" w:fill="F2F2F2"/>
            <w:noWrap/>
            <w:vAlign w:val="bottom"/>
            <w:hideMark/>
          </w:tcPr>
          <w:p w14:paraId="49122D9E" w14:textId="77777777" w:rsidR="00BA3231" w:rsidRPr="00E74FC9" w:rsidRDefault="00BA3231" w:rsidP="00901EF6">
            <w:pPr>
              <w:jc w:val="center"/>
              <w:rPr>
                <w:rFonts w:ascii="Calibri" w:hAnsi="Calibri" w:cs="Calibri"/>
                <w:b/>
                <w:bCs/>
                <w:szCs w:val="22"/>
              </w:rPr>
            </w:pPr>
            <w:r>
              <w:rPr>
                <w:rFonts w:ascii="Calibri" w:hAnsi="Calibri" w:cs="Calibri"/>
                <w:b/>
                <w:bCs/>
                <w:szCs w:val="22"/>
              </w:rPr>
              <w:t>Proposed MIDS</w:t>
            </w:r>
          </w:p>
        </w:tc>
      </w:tr>
      <w:tr w:rsidR="00BA3231" w:rsidRPr="00E74FC9" w14:paraId="4F4D8D48" w14:textId="77777777" w:rsidTr="00901EF6">
        <w:trPr>
          <w:trHeight w:val="293"/>
        </w:trPr>
        <w:tc>
          <w:tcPr>
            <w:tcW w:w="2088" w:type="dxa"/>
            <w:tcBorders>
              <w:top w:val="nil"/>
              <w:left w:val="single" w:sz="8" w:space="0" w:color="auto"/>
              <w:bottom w:val="nil"/>
              <w:right w:val="nil"/>
            </w:tcBorders>
            <w:shd w:val="clear" w:color="000000" w:fill="F2F2F2"/>
            <w:noWrap/>
            <w:vAlign w:val="bottom"/>
            <w:hideMark/>
          </w:tcPr>
          <w:p w14:paraId="3EB88ECB" w14:textId="77777777" w:rsidR="00BA3231" w:rsidRPr="00E74FC9" w:rsidRDefault="00BA3231" w:rsidP="00901EF6">
            <w:pPr>
              <w:rPr>
                <w:rFonts w:ascii="Calibri" w:hAnsi="Calibri" w:cs="Calibri"/>
                <w:b/>
                <w:bCs/>
                <w:szCs w:val="22"/>
              </w:rPr>
            </w:pPr>
            <w:r w:rsidRPr="00E74FC9">
              <w:rPr>
                <w:rFonts w:ascii="Calibri" w:hAnsi="Calibri" w:cs="Calibri"/>
                <w:b/>
                <w:bCs/>
                <w:szCs w:val="22"/>
              </w:rPr>
              <w:t>Baseline Runoff</w:t>
            </w:r>
          </w:p>
        </w:tc>
        <w:tc>
          <w:tcPr>
            <w:tcW w:w="1048" w:type="dxa"/>
            <w:tcBorders>
              <w:top w:val="nil"/>
              <w:left w:val="nil"/>
              <w:bottom w:val="nil"/>
              <w:right w:val="nil"/>
            </w:tcBorders>
            <w:shd w:val="clear" w:color="000000" w:fill="F2F2F2"/>
            <w:noWrap/>
            <w:vAlign w:val="bottom"/>
            <w:hideMark/>
          </w:tcPr>
          <w:p w14:paraId="494AD0DF" w14:textId="77777777" w:rsidR="00BA3231" w:rsidRPr="00E74FC9" w:rsidRDefault="00BA3231" w:rsidP="00901EF6">
            <w:pPr>
              <w:jc w:val="right"/>
              <w:rPr>
                <w:rFonts w:ascii="Calibri" w:hAnsi="Calibri" w:cs="Calibri"/>
                <w:szCs w:val="22"/>
              </w:rPr>
            </w:pPr>
            <w:r w:rsidRPr="00E74FC9">
              <w:rPr>
                <w:rFonts w:ascii="Calibri" w:hAnsi="Calibri" w:cs="Calibri"/>
                <w:szCs w:val="22"/>
              </w:rPr>
              <w:t>121934</w:t>
            </w:r>
          </w:p>
        </w:tc>
        <w:tc>
          <w:tcPr>
            <w:tcW w:w="1048" w:type="dxa"/>
            <w:tcBorders>
              <w:top w:val="nil"/>
              <w:left w:val="nil"/>
              <w:bottom w:val="nil"/>
              <w:right w:val="single" w:sz="8" w:space="0" w:color="auto"/>
            </w:tcBorders>
            <w:shd w:val="clear" w:color="000000" w:fill="F2F2F2"/>
            <w:noWrap/>
            <w:vAlign w:val="bottom"/>
            <w:hideMark/>
          </w:tcPr>
          <w:p w14:paraId="563BCDA8" w14:textId="77777777" w:rsidR="00BA3231" w:rsidRPr="00E74FC9" w:rsidRDefault="00BA3231" w:rsidP="00901EF6">
            <w:pPr>
              <w:jc w:val="right"/>
              <w:rPr>
                <w:rFonts w:ascii="Calibri" w:hAnsi="Calibri" w:cs="Calibri"/>
                <w:szCs w:val="22"/>
              </w:rPr>
            </w:pPr>
            <w:r w:rsidRPr="00E74FC9">
              <w:rPr>
                <w:rFonts w:ascii="Calibri" w:hAnsi="Calibri" w:cs="Calibri"/>
                <w:szCs w:val="22"/>
              </w:rPr>
              <w:t>121934</w:t>
            </w:r>
          </w:p>
        </w:tc>
      </w:tr>
      <w:tr w:rsidR="00BA3231" w:rsidRPr="00E74FC9" w14:paraId="02E303D0" w14:textId="77777777" w:rsidTr="00901EF6">
        <w:trPr>
          <w:trHeight w:val="285"/>
        </w:trPr>
        <w:tc>
          <w:tcPr>
            <w:tcW w:w="2088" w:type="dxa"/>
            <w:tcBorders>
              <w:top w:val="nil"/>
              <w:left w:val="single" w:sz="8" w:space="0" w:color="auto"/>
              <w:bottom w:val="nil"/>
              <w:right w:val="nil"/>
            </w:tcBorders>
            <w:shd w:val="clear" w:color="000000" w:fill="F2F2F2"/>
            <w:noWrap/>
            <w:vAlign w:val="bottom"/>
            <w:hideMark/>
          </w:tcPr>
          <w:p w14:paraId="6D31E888" w14:textId="77777777" w:rsidR="00BA3231" w:rsidRPr="00E74FC9" w:rsidRDefault="00BA3231" w:rsidP="00901EF6">
            <w:pPr>
              <w:rPr>
                <w:rFonts w:ascii="Calibri" w:hAnsi="Calibri" w:cs="Calibri"/>
                <w:b/>
                <w:bCs/>
                <w:color w:val="000000"/>
                <w:szCs w:val="22"/>
              </w:rPr>
            </w:pPr>
            <w:r w:rsidRPr="00E74FC9">
              <w:rPr>
                <w:rFonts w:ascii="Calibri" w:hAnsi="Calibri" w:cs="Calibri"/>
                <w:b/>
                <w:bCs/>
                <w:color w:val="000000"/>
                <w:szCs w:val="22"/>
              </w:rPr>
              <w:t>Runoff Remaining</w:t>
            </w:r>
          </w:p>
        </w:tc>
        <w:tc>
          <w:tcPr>
            <w:tcW w:w="1048" w:type="dxa"/>
            <w:tcBorders>
              <w:top w:val="nil"/>
              <w:left w:val="nil"/>
              <w:bottom w:val="nil"/>
              <w:right w:val="nil"/>
            </w:tcBorders>
            <w:shd w:val="clear" w:color="000000" w:fill="F2F2F2"/>
            <w:noWrap/>
            <w:vAlign w:val="bottom"/>
            <w:hideMark/>
          </w:tcPr>
          <w:p w14:paraId="2EB2A065" w14:textId="77777777" w:rsidR="00BA3231" w:rsidRPr="00E74FC9" w:rsidRDefault="00BA3231" w:rsidP="00901EF6">
            <w:pPr>
              <w:jc w:val="right"/>
              <w:rPr>
                <w:rFonts w:ascii="Calibri" w:hAnsi="Calibri" w:cs="Calibri"/>
                <w:color w:val="000000"/>
                <w:szCs w:val="22"/>
              </w:rPr>
            </w:pPr>
            <w:r w:rsidRPr="00E74FC9">
              <w:rPr>
                <w:rFonts w:ascii="Calibri" w:hAnsi="Calibri" w:cs="Calibri"/>
                <w:color w:val="000000"/>
                <w:szCs w:val="22"/>
              </w:rPr>
              <w:t>120605</w:t>
            </w:r>
          </w:p>
        </w:tc>
        <w:tc>
          <w:tcPr>
            <w:tcW w:w="1048" w:type="dxa"/>
            <w:tcBorders>
              <w:top w:val="nil"/>
              <w:left w:val="nil"/>
              <w:bottom w:val="nil"/>
              <w:right w:val="single" w:sz="8" w:space="0" w:color="auto"/>
            </w:tcBorders>
            <w:shd w:val="clear" w:color="000000" w:fill="F2F2F2"/>
            <w:noWrap/>
            <w:vAlign w:val="bottom"/>
            <w:hideMark/>
          </w:tcPr>
          <w:p w14:paraId="15C00741" w14:textId="77777777" w:rsidR="00BA3231" w:rsidRPr="00E74FC9" w:rsidRDefault="00BA3231" w:rsidP="00901EF6">
            <w:pPr>
              <w:jc w:val="right"/>
              <w:rPr>
                <w:rFonts w:ascii="Calibri" w:hAnsi="Calibri" w:cs="Calibri"/>
                <w:color w:val="000000"/>
                <w:szCs w:val="22"/>
              </w:rPr>
            </w:pPr>
            <w:r w:rsidRPr="00E74FC9">
              <w:rPr>
                <w:rFonts w:ascii="Calibri" w:hAnsi="Calibri" w:cs="Calibri"/>
                <w:color w:val="000000"/>
                <w:szCs w:val="22"/>
              </w:rPr>
              <w:t>119856</w:t>
            </w:r>
          </w:p>
        </w:tc>
      </w:tr>
      <w:tr w:rsidR="00BA3231" w:rsidRPr="00E74FC9" w14:paraId="339A7DC8" w14:textId="77777777" w:rsidTr="00901EF6">
        <w:trPr>
          <w:trHeight w:val="293"/>
        </w:trPr>
        <w:tc>
          <w:tcPr>
            <w:tcW w:w="2088" w:type="dxa"/>
            <w:tcBorders>
              <w:top w:val="nil"/>
              <w:left w:val="single" w:sz="8" w:space="0" w:color="auto"/>
              <w:bottom w:val="single" w:sz="8" w:space="0" w:color="auto"/>
              <w:right w:val="nil"/>
            </w:tcBorders>
            <w:shd w:val="clear" w:color="000000" w:fill="F2DCDB"/>
            <w:noWrap/>
            <w:vAlign w:val="bottom"/>
            <w:hideMark/>
          </w:tcPr>
          <w:p w14:paraId="5A15E2B5" w14:textId="77777777" w:rsidR="00BA3231" w:rsidRPr="00E74FC9" w:rsidRDefault="00BA3231" w:rsidP="00901EF6">
            <w:pPr>
              <w:rPr>
                <w:rFonts w:ascii="Calibri" w:hAnsi="Calibri" w:cs="Calibri"/>
                <w:b/>
                <w:bCs/>
                <w:color w:val="000000"/>
                <w:szCs w:val="22"/>
              </w:rPr>
            </w:pPr>
            <w:r w:rsidRPr="00E74FC9">
              <w:rPr>
                <w:rFonts w:ascii="Calibri" w:hAnsi="Calibri" w:cs="Calibri"/>
                <w:b/>
                <w:bCs/>
                <w:color w:val="000000"/>
                <w:szCs w:val="22"/>
              </w:rPr>
              <w:t xml:space="preserve">% Reduction </w:t>
            </w:r>
          </w:p>
        </w:tc>
        <w:tc>
          <w:tcPr>
            <w:tcW w:w="1048" w:type="dxa"/>
            <w:tcBorders>
              <w:top w:val="nil"/>
              <w:left w:val="nil"/>
              <w:bottom w:val="single" w:sz="8" w:space="0" w:color="auto"/>
              <w:right w:val="nil"/>
            </w:tcBorders>
            <w:shd w:val="clear" w:color="000000" w:fill="F2DCDB"/>
            <w:noWrap/>
            <w:vAlign w:val="bottom"/>
            <w:hideMark/>
          </w:tcPr>
          <w:p w14:paraId="14A710AD" w14:textId="77777777" w:rsidR="00BA3231" w:rsidRPr="00E74FC9" w:rsidRDefault="00BA3231" w:rsidP="00901EF6">
            <w:pPr>
              <w:jc w:val="right"/>
              <w:rPr>
                <w:rFonts w:ascii="Calibri" w:hAnsi="Calibri" w:cs="Calibri"/>
                <w:color w:val="000000"/>
                <w:szCs w:val="22"/>
              </w:rPr>
            </w:pPr>
            <w:r w:rsidRPr="00E74FC9">
              <w:rPr>
                <w:rFonts w:ascii="Calibri" w:hAnsi="Calibri" w:cs="Calibri"/>
                <w:color w:val="000000"/>
                <w:szCs w:val="22"/>
              </w:rPr>
              <w:t>1.09%</w:t>
            </w:r>
          </w:p>
        </w:tc>
        <w:tc>
          <w:tcPr>
            <w:tcW w:w="1048" w:type="dxa"/>
            <w:tcBorders>
              <w:top w:val="nil"/>
              <w:left w:val="nil"/>
              <w:bottom w:val="single" w:sz="8" w:space="0" w:color="auto"/>
              <w:right w:val="single" w:sz="8" w:space="0" w:color="auto"/>
            </w:tcBorders>
            <w:shd w:val="clear" w:color="000000" w:fill="F2DCDB"/>
            <w:noWrap/>
            <w:vAlign w:val="bottom"/>
            <w:hideMark/>
          </w:tcPr>
          <w:p w14:paraId="68377BEF" w14:textId="77777777" w:rsidR="00BA3231" w:rsidRPr="00E74FC9" w:rsidRDefault="00BA3231" w:rsidP="00901EF6">
            <w:pPr>
              <w:jc w:val="right"/>
              <w:rPr>
                <w:rFonts w:ascii="Calibri" w:hAnsi="Calibri" w:cs="Calibri"/>
                <w:color w:val="000000"/>
                <w:szCs w:val="22"/>
              </w:rPr>
            </w:pPr>
            <w:r w:rsidRPr="00E74FC9">
              <w:rPr>
                <w:rFonts w:ascii="Calibri" w:hAnsi="Calibri" w:cs="Calibri"/>
                <w:color w:val="000000"/>
                <w:szCs w:val="22"/>
              </w:rPr>
              <w:t>1.70%</w:t>
            </w:r>
          </w:p>
        </w:tc>
      </w:tr>
    </w:tbl>
    <w:p w14:paraId="48D82218" w14:textId="77777777" w:rsidR="00BA3231" w:rsidRDefault="00BA3231" w:rsidP="00BA3231">
      <w:pPr>
        <w:pStyle w:val="BodyText"/>
      </w:pPr>
    </w:p>
    <w:p w14:paraId="789F8186" w14:textId="77777777" w:rsidR="00426A33" w:rsidRDefault="00426A33" w:rsidP="00BA3231">
      <w:pPr>
        <w:pStyle w:val="BodyText"/>
      </w:pPr>
    </w:p>
    <w:p w14:paraId="26A0D4A7" w14:textId="03C38BAB" w:rsidR="00BA3231" w:rsidRPr="00120BD1" w:rsidRDefault="00BA3231" w:rsidP="00BA3231">
      <w:pPr>
        <w:pStyle w:val="BodyText"/>
        <w:rPr>
          <w:b/>
        </w:rPr>
      </w:pPr>
      <w:r w:rsidRPr="00120BD1">
        <w:rPr>
          <w:b/>
        </w:rPr>
        <w:lastRenderedPageBreak/>
        <w:t xml:space="preserve">Table </w:t>
      </w:r>
      <w:r w:rsidR="00426A33">
        <w:rPr>
          <w:b/>
        </w:rPr>
        <w:t>8</w:t>
      </w:r>
      <w:r w:rsidRPr="00120BD1">
        <w:rPr>
          <w:b/>
        </w:rPr>
        <w:t>: Canopy-based Performance</w:t>
      </w:r>
    </w:p>
    <w:tbl>
      <w:tblPr>
        <w:tblW w:w="4184" w:type="dxa"/>
        <w:tblLook w:val="04A0" w:firstRow="1" w:lastRow="0" w:firstColumn="1" w:lastColumn="0" w:noHBand="0" w:noVBand="1"/>
      </w:tblPr>
      <w:tblGrid>
        <w:gridCol w:w="2088"/>
        <w:gridCol w:w="1048"/>
        <w:gridCol w:w="1048"/>
      </w:tblGrid>
      <w:tr w:rsidR="00BA3231" w:rsidRPr="00E74FC9" w14:paraId="6923CB4C" w14:textId="77777777" w:rsidTr="00901EF6">
        <w:trPr>
          <w:trHeight w:val="293"/>
        </w:trPr>
        <w:tc>
          <w:tcPr>
            <w:tcW w:w="2088" w:type="dxa"/>
            <w:tcBorders>
              <w:top w:val="single" w:sz="8" w:space="0" w:color="auto"/>
              <w:left w:val="single" w:sz="8" w:space="0" w:color="auto"/>
              <w:bottom w:val="nil"/>
              <w:right w:val="nil"/>
            </w:tcBorders>
            <w:shd w:val="clear" w:color="000000" w:fill="F2F2F2"/>
            <w:noWrap/>
            <w:vAlign w:val="bottom"/>
            <w:hideMark/>
          </w:tcPr>
          <w:p w14:paraId="030ACDA8" w14:textId="77777777" w:rsidR="00BA3231" w:rsidRPr="00E74FC9" w:rsidRDefault="00BA3231" w:rsidP="00901EF6">
            <w:pPr>
              <w:rPr>
                <w:rFonts w:ascii="Calibri" w:hAnsi="Calibri" w:cs="Calibri"/>
                <w:szCs w:val="22"/>
              </w:rPr>
            </w:pPr>
            <w:r w:rsidRPr="00E74FC9">
              <w:rPr>
                <w:rFonts w:ascii="Calibri" w:hAnsi="Calibri" w:cs="Calibri"/>
                <w:szCs w:val="22"/>
              </w:rPr>
              <w:t> </w:t>
            </w:r>
          </w:p>
        </w:tc>
        <w:tc>
          <w:tcPr>
            <w:tcW w:w="1048" w:type="dxa"/>
            <w:tcBorders>
              <w:top w:val="single" w:sz="8" w:space="0" w:color="auto"/>
              <w:left w:val="nil"/>
              <w:bottom w:val="single" w:sz="8" w:space="0" w:color="auto"/>
              <w:right w:val="nil"/>
            </w:tcBorders>
            <w:shd w:val="clear" w:color="000000" w:fill="F2F2F2"/>
            <w:noWrap/>
            <w:vAlign w:val="bottom"/>
            <w:hideMark/>
          </w:tcPr>
          <w:p w14:paraId="50806858" w14:textId="77777777" w:rsidR="00BA3231" w:rsidRPr="00E74FC9" w:rsidRDefault="00BA3231" w:rsidP="00901EF6">
            <w:pPr>
              <w:jc w:val="center"/>
              <w:rPr>
                <w:rFonts w:ascii="Calibri" w:hAnsi="Calibri" w:cs="Calibri"/>
                <w:b/>
                <w:bCs/>
                <w:szCs w:val="22"/>
              </w:rPr>
            </w:pPr>
            <w:r w:rsidRPr="00E74FC9">
              <w:rPr>
                <w:rFonts w:ascii="Calibri" w:hAnsi="Calibri" w:cs="Calibri"/>
                <w:b/>
                <w:bCs/>
                <w:szCs w:val="22"/>
              </w:rPr>
              <w:t>A</w:t>
            </w:r>
          </w:p>
        </w:tc>
        <w:tc>
          <w:tcPr>
            <w:tcW w:w="1048" w:type="dxa"/>
            <w:tcBorders>
              <w:top w:val="single" w:sz="8" w:space="0" w:color="auto"/>
              <w:left w:val="nil"/>
              <w:bottom w:val="single" w:sz="8" w:space="0" w:color="auto"/>
              <w:right w:val="single" w:sz="8" w:space="0" w:color="auto"/>
            </w:tcBorders>
            <w:shd w:val="clear" w:color="000000" w:fill="F2F2F2"/>
            <w:noWrap/>
            <w:vAlign w:val="bottom"/>
            <w:hideMark/>
          </w:tcPr>
          <w:p w14:paraId="692FC84B" w14:textId="77777777" w:rsidR="00BA3231" w:rsidRPr="00E74FC9" w:rsidRDefault="00BA3231" w:rsidP="00901EF6">
            <w:pPr>
              <w:jc w:val="center"/>
              <w:rPr>
                <w:rFonts w:ascii="Calibri" w:hAnsi="Calibri" w:cs="Calibri"/>
                <w:b/>
                <w:bCs/>
                <w:szCs w:val="22"/>
              </w:rPr>
            </w:pPr>
            <w:r w:rsidRPr="00E74FC9">
              <w:rPr>
                <w:rFonts w:ascii="Calibri" w:hAnsi="Calibri" w:cs="Calibri"/>
                <w:b/>
                <w:bCs/>
                <w:szCs w:val="22"/>
              </w:rPr>
              <w:t>B</w:t>
            </w:r>
          </w:p>
        </w:tc>
      </w:tr>
      <w:tr w:rsidR="00BA3231" w:rsidRPr="00E74FC9" w14:paraId="0E8E4AE2" w14:textId="77777777" w:rsidTr="00901EF6">
        <w:trPr>
          <w:trHeight w:val="293"/>
        </w:trPr>
        <w:tc>
          <w:tcPr>
            <w:tcW w:w="2088" w:type="dxa"/>
            <w:tcBorders>
              <w:top w:val="nil"/>
              <w:left w:val="single" w:sz="8" w:space="0" w:color="auto"/>
              <w:bottom w:val="nil"/>
              <w:right w:val="nil"/>
            </w:tcBorders>
            <w:shd w:val="clear" w:color="000000" w:fill="F2F2F2"/>
            <w:noWrap/>
            <w:vAlign w:val="bottom"/>
            <w:hideMark/>
          </w:tcPr>
          <w:p w14:paraId="1D3B0B96" w14:textId="77777777" w:rsidR="00BA3231" w:rsidRPr="00E74FC9" w:rsidRDefault="00BA3231" w:rsidP="00901EF6">
            <w:pPr>
              <w:rPr>
                <w:rFonts w:ascii="Calibri" w:hAnsi="Calibri" w:cs="Calibri"/>
                <w:b/>
                <w:bCs/>
                <w:szCs w:val="22"/>
              </w:rPr>
            </w:pPr>
            <w:r w:rsidRPr="00E74FC9">
              <w:rPr>
                <w:rFonts w:ascii="Calibri" w:hAnsi="Calibri" w:cs="Calibri"/>
                <w:b/>
                <w:bCs/>
                <w:szCs w:val="22"/>
              </w:rPr>
              <w:t>Baseline Runoff</w:t>
            </w:r>
          </w:p>
        </w:tc>
        <w:tc>
          <w:tcPr>
            <w:tcW w:w="1048" w:type="dxa"/>
            <w:tcBorders>
              <w:top w:val="nil"/>
              <w:left w:val="nil"/>
              <w:bottom w:val="nil"/>
              <w:right w:val="nil"/>
            </w:tcBorders>
            <w:shd w:val="clear" w:color="000000" w:fill="F2F2F2"/>
            <w:noWrap/>
            <w:vAlign w:val="bottom"/>
            <w:hideMark/>
          </w:tcPr>
          <w:p w14:paraId="7D383F52" w14:textId="77777777" w:rsidR="00BA3231" w:rsidRPr="00E74FC9" w:rsidRDefault="00BA3231" w:rsidP="00901EF6">
            <w:pPr>
              <w:jc w:val="right"/>
              <w:rPr>
                <w:rFonts w:ascii="Calibri" w:hAnsi="Calibri" w:cs="Calibri"/>
                <w:szCs w:val="22"/>
              </w:rPr>
            </w:pPr>
            <w:r w:rsidRPr="00E74FC9">
              <w:rPr>
                <w:rFonts w:ascii="Calibri" w:hAnsi="Calibri" w:cs="Calibri"/>
                <w:szCs w:val="22"/>
              </w:rPr>
              <w:t>6927</w:t>
            </w:r>
          </w:p>
        </w:tc>
        <w:tc>
          <w:tcPr>
            <w:tcW w:w="1048" w:type="dxa"/>
            <w:tcBorders>
              <w:top w:val="nil"/>
              <w:left w:val="nil"/>
              <w:bottom w:val="nil"/>
              <w:right w:val="single" w:sz="8" w:space="0" w:color="auto"/>
            </w:tcBorders>
            <w:shd w:val="clear" w:color="000000" w:fill="F2F2F2"/>
            <w:noWrap/>
            <w:vAlign w:val="bottom"/>
            <w:hideMark/>
          </w:tcPr>
          <w:p w14:paraId="71E23814" w14:textId="77777777" w:rsidR="00BA3231" w:rsidRPr="00E74FC9" w:rsidRDefault="00BA3231" w:rsidP="00901EF6">
            <w:pPr>
              <w:jc w:val="right"/>
              <w:rPr>
                <w:rFonts w:ascii="Calibri" w:hAnsi="Calibri" w:cs="Calibri"/>
                <w:szCs w:val="22"/>
              </w:rPr>
            </w:pPr>
            <w:r w:rsidRPr="00E74FC9">
              <w:rPr>
                <w:rFonts w:ascii="Calibri" w:hAnsi="Calibri" w:cs="Calibri"/>
                <w:szCs w:val="22"/>
              </w:rPr>
              <w:t>6927</w:t>
            </w:r>
          </w:p>
        </w:tc>
      </w:tr>
      <w:tr w:rsidR="00BA3231" w:rsidRPr="00E74FC9" w14:paraId="5C79F9E0" w14:textId="77777777" w:rsidTr="00901EF6">
        <w:trPr>
          <w:trHeight w:val="285"/>
        </w:trPr>
        <w:tc>
          <w:tcPr>
            <w:tcW w:w="2088" w:type="dxa"/>
            <w:tcBorders>
              <w:top w:val="nil"/>
              <w:left w:val="single" w:sz="8" w:space="0" w:color="auto"/>
              <w:bottom w:val="nil"/>
              <w:right w:val="nil"/>
            </w:tcBorders>
            <w:shd w:val="clear" w:color="000000" w:fill="F2F2F2"/>
            <w:noWrap/>
            <w:vAlign w:val="bottom"/>
            <w:hideMark/>
          </w:tcPr>
          <w:p w14:paraId="03DB7E12" w14:textId="77777777" w:rsidR="00BA3231" w:rsidRPr="00E74FC9" w:rsidRDefault="00BA3231" w:rsidP="00901EF6">
            <w:pPr>
              <w:rPr>
                <w:rFonts w:ascii="Calibri" w:hAnsi="Calibri" w:cs="Calibri"/>
                <w:b/>
                <w:bCs/>
                <w:color w:val="000000"/>
                <w:szCs w:val="22"/>
              </w:rPr>
            </w:pPr>
            <w:r w:rsidRPr="00E74FC9">
              <w:rPr>
                <w:rFonts w:ascii="Calibri" w:hAnsi="Calibri" w:cs="Calibri"/>
                <w:b/>
                <w:bCs/>
                <w:color w:val="000000"/>
                <w:szCs w:val="22"/>
              </w:rPr>
              <w:t>Runoff Remaining</w:t>
            </w:r>
          </w:p>
        </w:tc>
        <w:tc>
          <w:tcPr>
            <w:tcW w:w="1048" w:type="dxa"/>
            <w:tcBorders>
              <w:top w:val="nil"/>
              <w:left w:val="nil"/>
              <w:bottom w:val="nil"/>
              <w:right w:val="nil"/>
            </w:tcBorders>
            <w:shd w:val="clear" w:color="000000" w:fill="F2F2F2"/>
            <w:noWrap/>
            <w:vAlign w:val="bottom"/>
            <w:hideMark/>
          </w:tcPr>
          <w:p w14:paraId="16803456" w14:textId="77777777" w:rsidR="00BA3231" w:rsidRPr="00E74FC9" w:rsidRDefault="00BA3231" w:rsidP="00901EF6">
            <w:pPr>
              <w:jc w:val="right"/>
              <w:rPr>
                <w:rFonts w:ascii="Calibri" w:hAnsi="Calibri" w:cs="Calibri"/>
                <w:color w:val="000000"/>
                <w:szCs w:val="22"/>
              </w:rPr>
            </w:pPr>
            <w:r w:rsidRPr="00E74FC9">
              <w:rPr>
                <w:rFonts w:ascii="Calibri" w:hAnsi="Calibri" w:cs="Calibri"/>
                <w:color w:val="000000"/>
                <w:szCs w:val="22"/>
              </w:rPr>
              <w:t>5598</w:t>
            </w:r>
          </w:p>
        </w:tc>
        <w:tc>
          <w:tcPr>
            <w:tcW w:w="1048" w:type="dxa"/>
            <w:tcBorders>
              <w:top w:val="nil"/>
              <w:left w:val="nil"/>
              <w:bottom w:val="nil"/>
              <w:right w:val="single" w:sz="8" w:space="0" w:color="auto"/>
            </w:tcBorders>
            <w:shd w:val="clear" w:color="000000" w:fill="F2F2F2"/>
            <w:noWrap/>
            <w:vAlign w:val="bottom"/>
            <w:hideMark/>
          </w:tcPr>
          <w:p w14:paraId="4F6478C5" w14:textId="77777777" w:rsidR="00BA3231" w:rsidRPr="00E74FC9" w:rsidRDefault="00BA3231" w:rsidP="00901EF6">
            <w:pPr>
              <w:jc w:val="right"/>
              <w:rPr>
                <w:rFonts w:ascii="Calibri" w:hAnsi="Calibri" w:cs="Calibri"/>
                <w:color w:val="000000"/>
                <w:szCs w:val="22"/>
              </w:rPr>
            </w:pPr>
            <w:r w:rsidRPr="00E74FC9">
              <w:rPr>
                <w:rFonts w:ascii="Calibri" w:hAnsi="Calibri" w:cs="Calibri"/>
                <w:color w:val="000000"/>
                <w:szCs w:val="22"/>
              </w:rPr>
              <w:t>4849</w:t>
            </w:r>
          </w:p>
        </w:tc>
      </w:tr>
      <w:tr w:rsidR="00BA3231" w:rsidRPr="00E74FC9" w14:paraId="6E2DE5C7" w14:textId="77777777" w:rsidTr="00901EF6">
        <w:trPr>
          <w:trHeight w:val="293"/>
        </w:trPr>
        <w:tc>
          <w:tcPr>
            <w:tcW w:w="2088" w:type="dxa"/>
            <w:tcBorders>
              <w:top w:val="nil"/>
              <w:left w:val="single" w:sz="8" w:space="0" w:color="auto"/>
              <w:bottom w:val="single" w:sz="8" w:space="0" w:color="auto"/>
              <w:right w:val="nil"/>
            </w:tcBorders>
            <w:shd w:val="clear" w:color="000000" w:fill="F2DCDB"/>
            <w:noWrap/>
            <w:vAlign w:val="bottom"/>
            <w:hideMark/>
          </w:tcPr>
          <w:p w14:paraId="4E73FE2F" w14:textId="77777777" w:rsidR="00BA3231" w:rsidRPr="00E74FC9" w:rsidRDefault="00BA3231" w:rsidP="00901EF6">
            <w:pPr>
              <w:rPr>
                <w:rFonts w:ascii="Calibri" w:hAnsi="Calibri" w:cs="Calibri"/>
                <w:b/>
                <w:bCs/>
                <w:color w:val="000000"/>
                <w:szCs w:val="22"/>
              </w:rPr>
            </w:pPr>
            <w:r w:rsidRPr="00E74FC9">
              <w:rPr>
                <w:rFonts w:ascii="Calibri" w:hAnsi="Calibri" w:cs="Calibri"/>
                <w:b/>
                <w:bCs/>
                <w:color w:val="000000"/>
                <w:szCs w:val="22"/>
              </w:rPr>
              <w:t xml:space="preserve">% Reduction </w:t>
            </w:r>
          </w:p>
        </w:tc>
        <w:tc>
          <w:tcPr>
            <w:tcW w:w="1048" w:type="dxa"/>
            <w:tcBorders>
              <w:top w:val="nil"/>
              <w:left w:val="nil"/>
              <w:bottom w:val="single" w:sz="8" w:space="0" w:color="auto"/>
              <w:right w:val="nil"/>
            </w:tcBorders>
            <w:shd w:val="clear" w:color="000000" w:fill="F2DCDB"/>
            <w:noWrap/>
            <w:vAlign w:val="bottom"/>
            <w:hideMark/>
          </w:tcPr>
          <w:p w14:paraId="52EB3BEC" w14:textId="77777777" w:rsidR="00BA3231" w:rsidRPr="00E74FC9" w:rsidRDefault="00BA3231" w:rsidP="00901EF6">
            <w:pPr>
              <w:jc w:val="right"/>
              <w:rPr>
                <w:rFonts w:ascii="Calibri" w:hAnsi="Calibri" w:cs="Calibri"/>
                <w:color w:val="000000"/>
                <w:szCs w:val="22"/>
              </w:rPr>
            </w:pPr>
            <w:r w:rsidRPr="00E74FC9">
              <w:rPr>
                <w:rFonts w:ascii="Calibri" w:hAnsi="Calibri" w:cs="Calibri"/>
                <w:color w:val="000000"/>
                <w:szCs w:val="22"/>
              </w:rPr>
              <w:t>19.19%</w:t>
            </w:r>
          </w:p>
        </w:tc>
        <w:tc>
          <w:tcPr>
            <w:tcW w:w="1048" w:type="dxa"/>
            <w:tcBorders>
              <w:top w:val="nil"/>
              <w:left w:val="nil"/>
              <w:bottom w:val="single" w:sz="8" w:space="0" w:color="auto"/>
              <w:right w:val="single" w:sz="8" w:space="0" w:color="auto"/>
            </w:tcBorders>
            <w:shd w:val="clear" w:color="000000" w:fill="F2DCDB"/>
            <w:noWrap/>
            <w:vAlign w:val="bottom"/>
            <w:hideMark/>
          </w:tcPr>
          <w:p w14:paraId="2566A753" w14:textId="77777777" w:rsidR="00BA3231" w:rsidRPr="00E74FC9" w:rsidRDefault="00BA3231" w:rsidP="00901EF6">
            <w:pPr>
              <w:jc w:val="right"/>
              <w:rPr>
                <w:rFonts w:ascii="Calibri" w:hAnsi="Calibri" w:cs="Calibri"/>
                <w:color w:val="000000"/>
                <w:szCs w:val="22"/>
              </w:rPr>
            </w:pPr>
            <w:r w:rsidRPr="00E74FC9">
              <w:rPr>
                <w:rFonts w:ascii="Calibri" w:hAnsi="Calibri" w:cs="Calibri"/>
                <w:color w:val="000000"/>
                <w:szCs w:val="22"/>
              </w:rPr>
              <w:t>30.00%</w:t>
            </w:r>
          </w:p>
        </w:tc>
      </w:tr>
    </w:tbl>
    <w:p w14:paraId="13757694" w14:textId="77777777" w:rsidR="00BA3231" w:rsidRDefault="00BA3231" w:rsidP="00BA3231">
      <w:pPr>
        <w:pStyle w:val="BodyText"/>
      </w:pPr>
    </w:p>
    <w:p w14:paraId="6C4AD67E" w14:textId="5DD2BB30" w:rsidR="005800AD" w:rsidRDefault="005800AD" w:rsidP="005800AD">
      <w:pPr>
        <w:pStyle w:val="MemoHeading1"/>
      </w:pPr>
      <w:r>
        <w:t>Recommendation</w:t>
      </w:r>
      <w:r w:rsidR="00BA3231">
        <w:t>s</w:t>
      </w:r>
      <w:r>
        <w:t xml:space="preserve"> </w:t>
      </w:r>
    </w:p>
    <w:p w14:paraId="15EF56A7" w14:textId="7280A278" w:rsidR="00374880" w:rsidRDefault="00374880" w:rsidP="005800AD">
      <w:pPr>
        <w:pStyle w:val="BodyText"/>
      </w:pPr>
      <w:r>
        <w:t xml:space="preserve">Based on the information gained from the literature review and modeling analysis, </w:t>
      </w:r>
      <w:proofErr w:type="spellStart"/>
      <w:r>
        <w:t>LimnoTech</w:t>
      </w:r>
      <w:proofErr w:type="spellEnd"/>
      <w:r>
        <w:t xml:space="preserve"> recommends the following: </w:t>
      </w:r>
    </w:p>
    <w:p w14:paraId="4EEC7482" w14:textId="1A6381C4" w:rsidR="00374880" w:rsidRDefault="00374880" w:rsidP="00374880">
      <w:pPr>
        <w:pStyle w:val="BodyText"/>
        <w:numPr>
          <w:ilvl w:val="0"/>
          <w:numId w:val="4"/>
        </w:numPr>
      </w:pPr>
      <w:r w:rsidRPr="00374880">
        <w:t>Setting the annual rainfall interception performance of deciduous and coniferous trees at 30% and 5</w:t>
      </w:r>
      <w:r w:rsidR="00377127">
        <w:t>7</w:t>
      </w:r>
      <w:r w:rsidRPr="00374880">
        <w:t>%</w:t>
      </w:r>
      <w:r>
        <w:t>, respectively</w:t>
      </w:r>
      <w:r w:rsidRPr="00374880">
        <w:t>. These values are based on the average of the performances documented</w:t>
      </w:r>
      <w:r>
        <w:t xml:space="preserve"> in all reviewed studies for trees and climates that are applicable to Minnesota. </w:t>
      </w:r>
    </w:p>
    <w:p w14:paraId="603E825B" w14:textId="3ADF7844" w:rsidR="00374880" w:rsidRPr="00374880" w:rsidRDefault="00374880" w:rsidP="00374880">
      <w:pPr>
        <w:pStyle w:val="BodyText"/>
        <w:numPr>
          <w:ilvl w:val="0"/>
          <w:numId w:val="4"/>
        </w:numPr>
      </w:pPr>
      <w:r>
        <w:t xml:space="preserve">Setting the rainfall interception depth </w:t>
      </w:r>
      <w:r w:rsidRPr="00374880">
        <w:t>capacity of deciduous and coniferous trees at 0.14 inches and 0.</w:t>
      </w:r>
      <w:r w:rsidR="00377127">
        <w:t>4</w:t>
      </w:r>
      <w:r w:rsidR="00F95E5F">
        <w:t>0</w:t>
      </w:r>
      <w:r w:rsidRPr="00374880">
        <w:t xml:space="preserve"> inches, respectively. This interception depth translates into an annual rainfall interception performance of 30% and 5</w:t>
      </w:r>
      <w:r w:rsidR="00377127">
        <w:t>7</w:t>
      </w:r>
      <w:r w:rsidRPr="00374880">
        <w:t xml:space="preserve">% respectively, </w:t>
      </w:r>
      <w:r>
        <w:t>thereby aligning both tree metrics</w:t>
      </w:r>
      <w:r w:rsidRPr="00374880">
        <w:t xml:space="preserve">. </w:t>
      </w:r>
    </w:p>
    <w:p w14:paraId="591BC2CF" w14:textId="53350D00" w:rsidR="00374880" w:rsidRPr="00374880" w:rsidRDefault="00374880" w:rsidP="00374880">
      <w:pPr>
        <w:pStyle w:val="BodyText"/>
        <w:numPr>
          <w:ilvl w:val="0"/>
          <w:numId w:val="4"/>
        </w:numPr>
      </w:pPr>
      <w:r w:rsidRPr="00374880">
        <w:t xml:space="preserve">Revising the MIDS calculator with the proposed methodology that breaks out the interception and infiltration mechanisms that incorporates the recommended annual rainfall interception performance values in the MIDS calculator.  </w:t>
      </w:r>
    </w:p>
    <w:p w14:paraId="5EC50E58" w14:textId="77777777" w:rsidR="00374880" w:rsidRDefault="00374880" w:rsidP="005800AD">
      <w:pPr>
        <w:pStyle w:val="BodyText"/>
      </w:pPr>
    </w:p>
    <w:p w14:paraId="1A38EA8B" w14:textId="77777777" w:rsidR="00426A33" w:rsidRDefault="00426A33" w:rsidP="005800AD">
      <w:pPr>
        <w:pStyle w:val="BodyText"/>
      </w:pPr>
    </w:p>
    <w:p w14:paraId="148A8986" w14:textId="77777777" w:rsidR="00426A33" w:rsidRDefault="00426A33" w:rsidP="005800AD">
      <w:pPr>
        <w:pStyle w:val="BodyText"/>
      </w:pPr>
    </w:p>
    <w:p w14:paraId="21CAA7E8" w14:textId="77777777" w:rsidR="00426A33" w:rsidRDefault="00426A33" w:rsidP="005800AD">
      <w:pPr>
        <w:pStyle w:val="BodyText"/>
      </w:pPr>
    </w:p>
    <w:p w14:paraId="76983B08" w14:textId="77777777" w:rsidR="00426A33" w:rsidRDefault="00426A33" w:rsidP="005800AD">
      <w:pPr>
        <w:pStyle w:val="BodyText"/>
      </w:pPr>
    </w:p>
    <w:p w14:paraId="491D943F" w14:textId="77777777" w:rsidR="00426A33" w:rsidRDefault="00426A33" w:rsidP="005800AD">
      <w:pPr>
        <w:pStyle w:val="BodyText"/>
      </w:pPr>
    </w:p>
    <w:p w14:paraId="0ECD15EC" w14:textId="77777777" w:rsidR="00426A33" w:rsidRDefault="00426A33" w:rsidP="005800AD">
      <w:pPr>
        <w:pStyle w:val="BodyText"/>
      </w:pPr>
    </w:p>
    <w:p w14:paraId="6CCEBAD3" w14:textId="77777777" w:rsidR="00426A33" w:rsidRDefault="00426A33" w:rsidP="005800AD">
      <w:pPr>
        <w:pStyle w:val="BodyText"/>
      </w:pPr>
    </w:p>
    <w:p w14:paraId="51E2246A" w14:textId="77777777" w:rsidR="00426A33" w:rsidRDefault="00426A33" w:rsidP="005800AD">
      <w:pPr>
        <w:pStyle w:val="BodyText"/>
      </w:pPr>
    </w:p>
    <w:p w14:paraId="6B9BE8C5" w14:textId="77777777" w:rsidR="00426A33" w:rsidRDefault="00426A33" w:rsidP="005800AD">
      <w:pPr>
        <w:pStyle w:val="BodyText"/>
      </w:pPr>
    </w:p>
    <w:p w14:paraId="573DCDD8" w14:textId="77777777" w:rsidR="00426A33" w:rsidRDefault="00426A33" w:rsidP="005800AD">
      <w:pPr>
        <w:pStyle w:val="BodyText"/>
      </w:pPr>
    </w:p>
    <w:p w14:paraId="790EB01B" w14:textId="77777777" w:rsidR="00426A33" w:rsidRDefault="00426A33" w:rsidP="005800AD">
      <w:pPr>
        <w:pStyle w:val="BodyText"/>
      </w:pPr>
    </w:p>
    <w:p w14:paraId="4386F771" w14:textId="77777777" w:rsidR="00426A33" w:rsidRPr="00374880" w:rsidRDefault="00426A33" w:rsidP="005800AD">
      <w:pPr>
        <w:pStyle w:val="BodyText"/>
      </w:pPr>
    </w:p>
    <w:p w14:paraId="5E13539B" w14:textId="2258E824" w:rsidR="00BA3231" w:rsidRDefault="00BA3231" w:rsidP="00BA3231">
      <w:pPr>
        <w:pStyle w:val="MemoHeading1"/>
      </w:pPr>
      <w:r>
        <w:lastRenderedPageBreak/>
        <w:t>References</w:t>
      </w:r>
    </w:p>
    <w:p w14:paraId="06776F43" w14:textId="77777777" w:rsidR="00FD1475" w:rsidRPr="00426A33" w:rsidRDefault="00FD1475" w:rsidP="00FD1475">
      <w:pPr>
        <w:pStyle w:val="ListParagraph"/>
        <w:numPr>
          <w:ilvl w:val="0"/>
          <w:numId w:val="5"/>
        </w:numPr>
        <w:ind w:hanging="630"/>
        <w:rPr>
          <w:rFonts w:ascii="Georgia" w:hAnsi="Georgia"/>
          <w:sz w:val="20"/>
        </w:rPr>
      </w:pPr>
      <w:proofErr w:type="spellStart"/>
      <w:r w:rsidRPr="00426A33">
        <w:rPr>
          <w:rFonts w:ascii="Georgia" w:hAnsi="Georgia"/>
          <w:sz w:val="20"/>
        </w:rPr>
        <w:t>Asadian</w:t>
      </w:r>
      <w:proofErr w:type="spellEnd"/>
      <w:r w:rsidRPr="00426A33">
        <w:rPr>
          <w:rFonts w:ascii="Georgia" w:hAnsi="Georgia"/>
          <w:sz w:val="20"/>
        </w:rPr>
        <w:t xml:space="preserve">, Y. &amp; </w:t>
      </w:r>
      <w:proofErr w:type="spellStart"/>
      <w:r w:rsidRPr="00426A33">
        <w:rPr>
          <w:rFonts w:ascii="Georgia" w:hAnsi="Georgia"/>
          <w:sz w:val="20"/>
        </w:rPr>
        <w:t>Weiler</w:t>
      </w:r>
      <w:proofErr w:type="spellEnd"/>
      <w:r w:rsidRPr="00426A33">
        <w:rPr>
          <w:rFonts w:ascii="Georgia" w:hAnsi="Georgia"/>
          <w:sz w:val="20"/>
        </w:rPr>
        <w:t>, M. A new approach in measuring rainfall interception by urban trees in coastal British Columbia. Water Qual. Res. J. Canada 44, 16–25 (2009).</w:t>
      </w:r>
    </w:p>
    <w:p w14:paraId="2EF417A3" w14:textId="77777777" w:rsidR="00FD1475" w:rsidRPr="00426A33" w:rsidRDefault="00FD1475" w:rsidP="00FD1475">
      <w:pPr>
        <w:pStyle w:val="ListParagraph"/>
        <w:numPr>
          <w:ilvl w:val="0"/>
          <w:numId w:val="5"/>
        </w:numPr>
        <w:ind w:hanging="630"/>
        <w:rPr>
          <w:rFonts w:ascii="Georgia" w:hAnsi="Georgia"/>
          <w:sz w:val="20"/>
        </w:rPr>
      </w:pPr>
      <w:proofErr w:type="spellStart"/>
      <w:r w:rsidRPr="00426A33">
        <w:rPr>
          <w:rFonts w:ascii="Georgia" w:hAnsi="Georgia"/>
          <w:sz w:val="20"/>
        </w:rPr>
        <w:t>Asadian</w:t>
      </w:r>
      <w:proofErr w:type="spellEnd"/>
      <w:r w:rsidRPr="00426A33">
        <w:rPr>
          <w:rFonts w:ascii="Georgia" w:hAnsi="Georgia"/>
          <w:sz w:val="20"/>
        </w:rPr>
        <w:t>, Y. Rainfall Interception in an urban environment. Thesis (2010). doi:10.1558/</w:t>
      </w:r>
      <w:proofErr w:type="gramStart"/>
      <w:r w:rsidRPr="00426A33">
        <w:rPr>
          <w:rFonts w:ascii="Georgia" w:hAnsi="Georgia"/>
          <w:sz w:val="20"/>
        </w:rPr>
        <w:t>jsrnc.v</w:t>
      </w:r>
      <w:proofErr w:type="gramEnd"/>
      <w:r w:rsidRPr="00426A33">
        <w:rPr>
          <w:rFonts w:ascii="Georgia" w:hAnsi="Georgia"/>
          <w:sz w:val="20"/>
        </w:rPr>
        <w:t>4il.24</w:t>
      </w:r>
    </w:p>
    <w:p w14:paraId="653B87D4" w14:textId="77777777" w:rsidR="00FD1475" w:rsidRPr="00426A33" w:rsidRDefault="00FD1475" w:rsidP="00FD1475">
      <w:pPr>
        <w:pStyle w:val="ListParagraph"/>
        <w:numPr>
          <w:ilvl w:val="0"/>
          <w:numId w:val="5"/>
        </w:numPr>
        <w:ind w:hanging="630"/>
        <w:rPr>
          <w:rFonts w:ascii="Georgia" w:hAnsi="Georgia"/>
          <w:sz w:val="20"/>
        </w:rPr>
      </w:pPr>
      <w:r w:rsidRPr="00426A33">
        <w:rPr>
          <w:rFonts w:ascii="Georgia" w:hAnsi="Georgia"/>
          <w:sz w:val="20"/>
        </w:rPr>
        <w:t>Broxton, P. D. et al. Quantifying the effects of vegetation structure on snow accumulation and ablation in mixed-conifer forests. Ecohydrology 8, 1073–1094 (2015).</w:t>
      </w:r>
    </w:p>
    <w:p w14:paraId="37D6B206" w14:textId="77777777" w:rsidR="00FD1475" w:rsidRPr="00426A33" w:rsidRDefault="00FD1475" w:rsidP="00FD1475">
      <w:pPr>
        <w:pStyle w:val="ListParagraph"/>
        <w:numPr>
          <w:ilvl w:val="0"/>
          <w:numId w:val="5"/>
        </w:numPr>
        <w:ind w:hanging="630"/>
        <w:rPr>
          <w:rFonts w:ascii="Georgia" w:hAnsi="Georgia"/>
          <w:sz w:val="20"/>
        </w:rPr>
      </w:pPr>
      <w:proofErr w:type="spellStart"/>
      <w:r w:rsidRPr="00426A33">
        <w:rPr>
          <w:rFonts w:ascii="Georgia" w:hAnsi="Georgia"/>
          <w:sz w:val="20"/>
        </w:rPr>
        <w:t>Cappiella</w:t>
      </w:r>
      <w:proofErr w:type="spellEnd"/>
      <w:r w:rsidRPr="00426A33">
        <w:rPr>
          <w:rFonts w:ascii="Georgia" w:hAnsi="Georgia"/>
          <w:sz w:val="20"/>
        </w:rPr>
        <w:t>, K. et al. Recommendations of the Expert Panel to Define BMP Effectiveness for Urban Tree Canopy Expansion. (2016).</w:t>
      </w:r>
    </w:p>
    <w:p w14:paraId="42785A22" w14:textId="77777777" w:rsidR="00FD1475" w:rsidRPr="00426A33" w:rsidRDefault="00FD1475" w:rsidP="00FD1475">
      <w:pPr>
        <w:pStyle w:val="ListParagraph"/>
        <w:numPr>
          <w:ilvl w:val="0"/>
          <w:numId w:val="5"/>
        </w:numPr>
        <w:ind w:hanging="630"/>
        <w:rPr>
          <w:rFonts w:ascii="Georgia" w:hAnsi="Georgia"/>
          <w:sz w:val="20"/>
        </w:rPr>
      </w:pPr>
      <w:proofErr w:type="spellStart"/>
      <w:r w:rsidRPr="00426A33">
        <w:rPr>
          <w:rFonts w:ascii="Georgia" w:hAnsi="Georgia"/>
          <w:sz w:val="20"/>
        </w:rPr>
        <w:t>Coenders-Gerrits</w:t>
      </w:r>
      <w:proofErr w:type="spellEnd"/>
      <w:r w:rsidRPr="00426A33">
        <w:rPr>
          <w:rFonts w:ascii="Georgia" w:hAnsi="Georgia"/>
          <w:sz w:val="20"/>
        </w:rPr>
        <w:t xml:space="preserve">, M. &amp; Sellers, B. Rainfall interception and redistribution by a common North American understory and pasture forb, Eupatorium </w:t>
      </w:r>
      <w:proofErr w:type="spellStart"/>
      <w:r w:rsidRPr="00426A33">
        <w:rPr>
          <w:rFonts w:ascii="Georgia" w:hAnsi="Georgia"/>
          <w:sz w:val="20"/>
        </w:rPr>
        <w:t>capillifolium</w:t>
      </w:r>
      <w:proofErr w:type="spellEnd"/>
      <w:r w:rsidRPr="00426A33">
        <w:rPr>
          <w:rFonts w:ascii="Georgia" w:hAnsi="Georgia"/>
          <w:sz w:val="20"/>
        </w:rPr>
        <w:t xml:space="preserve"> (Lam. dogfennel). </w:t>
      </w:r>
      <w:proofErr w:type="spellStart"/>
      <w:r w:rsidRPr="00426A33">
        <w:rPr>
          <w:rFonts w:ascii="Georgia" w:hAnsi="Georgia"/>
          <w:sz w:val="20"/>
        </w:rPr>
        <w:t>Hydrol</w:t>
      </w:r>
      <w:proofErr w:type="spellEnd"/>
      <w:r w:rsidRPr="00426A33">
        <w:rPr>
          <w:rFonts w:ascii="Georgia" w:hAnsi="Georgia"/>
          <w:sz w:val="20"/>
        </w:rPr>
        <w:t>. Earth Syst. Sci. Discuss. 1–22 (2019). doi:10.5194/hess-2019-579</w:t>
      </w:r>
    </w:p>
    <w:p w14:paraId="1E26AEE8" w14:textId="77777777" w:rsidR="00FD1475" w:rsidRPr="00426A33" w:rsidRDefault="00FD1475" w:rsidP="00FD1475">
      <w:pPr>
        <w:pStyle w:val="ListParagraph"/>
        <w:numPr>
          <w:ilvl w:val="0"/>
          <w:numId w:val="5"/>
        </w:numPr>
        <w:ind w:hanging="630"/>
        <w:rPr>
          <w:rFonts w:ascii="Georgia" w:hAnsi="Georgia"/>
          <w:sz w:val="20"/>
        </w:rPr>
      </w:pPr>
      <w:r w:rsidRPr="00426A33">
        <w:rPr>
          <w:rFonts w:ascii="Georgia" w:hAnsi="Georgia"/>
          <w:sz w:val="20"/>
        </w:rPr>
        <w:t>Hathaway, J. Quantifying rainfall interception in the urban canopy. (2019).</w:t>
      </w:r>
    </w:p>
    <w:p w14:paraId="4D10CAFB" w14:textId="77777777" w:rsidR="00FD1475" w:rsidRPr="00426A33" w:rsidRDefault="00FD1475" w:rsidP="00FD1475">
      <w:pPr>
        <w:pStyle w:val="ListParagraph"/>
        <w:numPr>
          <w:ilvl w:val="0"/>
          <w:numId w:val="5"/>
        </w:numPr>
        <w:ind w:hanging="630"/>
        <w:rPr>
          <w:rFonts w:ascii="Georgia" w:hAnsi="Georgia"/>
          <w:sz w:val="20"/>
        </w:rPr>
      </w:pPr>
      <w:r w:rsidRPr="00426A33">
        <w:rPr>
          <w:rFonts w:ascii="Georgia" w:hAnsi="Georgia"/>
          <w:sz w:val="20"/>
        </w:rPr>
        <w:t xml:space="preserve">Huang, J. Y., Black, T. A., </w:t>
      </w:r>
      <w:proofErr w:type="spellStart"/>
      <w:r w:rsidRPr="00426A33">
        <w:rPr>
          <w:rFonts w:ascii="Georgia" w:hAnsi="Georgia"/>
          <w:sz w:val="20"/>
        </w:rPr>
        <w:t>Jassal</w:t>
      </w:r>
      <w:proofErr w:type="spellEnd"/>
      <w:r w:rsidRPr="00426A33">
        <w:rPr>
          <w:rFonts w:ascii="Georgia" w:hAnsi="Georgia"/>
          <w:sz w:val="20"/>
        </w:rPr>
        <w:t xml:space="preserve">, R. S. &amp; </w:t>
      </w:r>
      <w:proofErr w:type="spellStart"/>
      <w:r w:rsidRPr="00426A33">
        <w:rPr>
          <w:rFonts w:ascii="Georgia" w:hAnsi="Georgia"/>
          <w:sz w:val="20"/>
        </w:rPr>
        <w:t>Lavkulich</w:t>
      </w:r>
      <w:proofErr w:type="spellEnd"/>
      <w:r w:rsidRPr="00426A33">
        <w:rPr>
          <w:rFonts w:ascii="Georgia" w:hAnsi="Georgia"/>
          <w:sz w:val="20"/>
        </w:rPr>
        <w:t xml:space="preserve">, L. M. L. Modelling rainfall interception by urban trees. Can. Water </w:t>
      </w:r>
      <w:proofErr w:type="spellStart"/>
      <w:r w:rsidRPr="00426A33">
        <w:rPr>
          <w:rFonts w:ascii="Georgia" w:hAnsi="Georgia"/>
          <w:sz w:val="20"/>
        </w:rPr>
        <w:t>Resour</w:t>
      </w:r>
      <w:proofErr w:type="spellEnd"/>
      <w:r w:rsidRPr="00426A33">
        <w:rPr>
          <w:rFonts w:ascii="Georgia" w:hAnsi="Georgia"/>
          <w:sz w:val="20"/>
        </w:rPr>
        <w:t>. J. 42, 336–348 (2017).</w:t>
      </w:r>
    </w:p>
    <w:p w14:paraId="1847CAB7" w14:textId="77777777" w:rsidR="00FD1475" w:rsidRPr="00426A33" w:rsidRDefault="00FD1475" w:rsidP="00FD1475">
      <w:pPr>
        <w:pStyle w:val="ListParagraph"/>
        <w:numPr>
          <w:ilvl w:val="0"/>
          <w:numId w:val="5"/>
        </w:numPr>
        <w:ind w:hanging="630"/>
        <w:rPr>
          <w:rFonts w:ascii="Georgia" w:hAnsi="Georgia"/>
          <w:sz w:val="20"/>
        </w:rPr>
      </w:pPr>
      <w:proofErr w:type="spellStart"/>
      <w:r w:rsidRPr="00426A33">
        <w:rPr>
          <w:rFonts w:ascii="Georgia" w:hAnsi="Georgia"/>
          <w:sz w:val="20"/>
        </w:rPr>
        <w:t>Kermavnar</w:t>
      </w:r>
      <w:proofErr w:type="spellEnd"/>
      <w:r w:rsidRPr="00426A33">
        <w:rPr>
          <w:rFonts w:ascii="Georgia" w:hAnsi="Georgia"/>
          <w:sz w:val="20"/>
        </w:rPr>
        <w:t xml:space="preserve">, J. &amp; </w:t>
      </w:r>
      <w:proofErr w:type="spellStart"/>
      <w:r w:rsidRPr="00426A33">
        <w:rPr>
          <w:rFonts w:ascii="Georgia" w:hAnsi="Georgia"/>
          <w:sz w:val="20"/>
        </w:rPr>
        <w:t>Vilhar</w:t>
      </w:r>
      <w:proofErr w:type="spellEnd"/>
      <w:r w:rsidRPr="00426A33">
        <w:rPr>
          <w:rFonts w:ascii="Georgia" w:hAnsi="Georgia"/>
          <w:sz w:val="20"/>
        </w:rPr>
        <w:t xml:space="preserve">, U. Canopy precipitation interception in urban forests in relation to stand structure. Urban </w:t>
      </w:r>
      <w:proofErr w:type="spellStart"/>
      <w:r w:rsidRPr="00426A33">
        <w:rPr>
          <w:rFonts w:ascii="Georgia" w:hAnsi="Georgia"/>
          <w:sz w:val="20"/>
        </w:rPr>
        <w:t>Ecosyst</w:t>
      </w:r>
      <w:proofErr w:type="spellEnd"/>
      <w:r w:rsidRPr="00426A33">
        <w:rPr>
          <w:rFonts w:ascii="Georgia" w:hAnsi="Georgia"/>
          <w:sz w:val="20"/>
        </w:rPr>
        <w:t>. 20, 1373–1387 (2017).</w:t>
      </w:r>
    </w:p>
    <w:p w14:paraId="1538858E" w14:textId="77777777" w:rsidR="00FD1475" w:rsidRPr="00426A33" w:rsidRDefault="00FD1475" w:rsidP="00FD1475">
      <w:pPr>
        <w:pStyle w:val="ListParagraph"/>
        <w:numPr>
          <w:ilvl w:val="0"/>
          <w:numId w:val="5"/>
        </w:numPr>
        <w:ind w:hanging="630"/>
        <w:rPr>
          <w:rFonts w:ascii="Georgia" w:hAnsi="Georgia"/>
          <w:sz w:val="20"/>
        </w:rPr>
      </w:pPr>
      <w:proofErr w:type="spellStart"/>
      <w:r w:rsidRPr="00426A33">
        <w:rPr>
          <w:rFonts w:ascii="Georgia" w:hAnsi="Georgia"/>
          <w:sz w:val="20"/>
        </w:rPr>
        <w:t>Klamerus-Iwan</w:t>
      </w:r>
      <w:proofErr w:type="spellEnd"/>
      <w:r w:rsidRPr="00426A33">
        <w:rPr>
          <w:rFonts w:ascii="Georgia" w:hAnsi="Georgia"/>
          <w:sz w:val="20"/>
        </w:rPr>
        <w:t>, A. Different views on tree interception process and its determinants. For. Res. Pap. 75, 291–300 (2014).</w:t>
      </w:r>
    </w:p>
    <w:p w14:paraId="34685F78" w14:textId="77777777" w:rsidR="00FD1475" w:rsidRPr="00426A33" w:rsidRDefault="00FD1475" w:rsidP="00FD1475">
      <w:pPr>
        <w:pStyle w:val="ListParagraph"/>
        <w:numPr>
          <w:ilvl w:val="0"/>
          <w:numId w:val="5"/>
        </w:numPr>
        <w:ind w:hanging="630"/>
        <w:rPr>
          <w:rFonts w:ascii="Georgia" w:hAnsi="Georgia"/>
          <w:sz w:val="20"/>
        </w:rPr>
      </w:pPr>
      <w:r w:rsidRPr="00426A33">
        <w:rPr>
          <w:rFonts w:ascii="Georgia" w:hAnsi="Georgia"/>
          <w:sz w:val="20"/>
        </w:rPr>
        <w:t>Li, X. et al. A study on crown interception with four dominant tree species: A direct measurement. in Hydrology Research 47, 857–868 (Nordic Association for Hydrology, 2016).</w:t>
      </w:r>
    </w:p>
    <w:p w14:paraId="232351FE" w14:textId="77777777" w:rsidR="00FD1475" w:rsidRPr="00426A33" w:rsidRDefault="00FD1475" w:rsidP="00FD1475">
      <w:pPr>
        <w:pStyle w:val="ListParagraph"/>
        <w:numPr>
          <w:ilvl w:val="0"/>
          <w:numId w:val="5"/>
        </w:numPr>
        <w:ind w:hanging="630"/>
        <w:rPr>
          <w:rFonts w:ascii="Georgia" w:hAnsi="Georgia"/>
          <w:sz w:val="20"/>
        </w:rPr>
      </w:pPr>
      <w:r w:rsidRPr="00426A33">
        <w:rPr>
          <w:rFonts w:ascii="Georgia" w:hAnsi="Georgia"/>
          <w:sz w:val="20"/>
        </w:rPr>
        <w:t xml:space="preserve">Li, X. et al. Rainfall interception by tree crown and leaf litter: An interactive process. </w:t>
      </w:r>
      <w:proofErr w:type="spellStart"/>
      <w:r w:rsidRPr="00426A33">
        <w:rPr>
          <w:rFonts w:ascii="Georgia" w:hAnsi="Georgia"/>
          <w:sz w:val="20"/>
        </w:rPr>
        <w:t>Hydrol</w:t>
      </w:r>
      <w:proofErr w:type="spellEnd"/>
      <w:r w:rsidRPr="00426A33">
        <w:rPr>
          <w:rFonts w:ascii="Georgia" w:hAnsi="Georgia"/>
          <w:sz w:val="20"/>
        </w:rPr>
        <w:t>. Process. 31, 3533–3542 (2017).</w:t>
      </w:r>
    </w:p>
    <w:p w14:paraId="1D0D371F" w14:textId="77777777" w:rsidR="00FD1475" w:rsidRPr="00426A33" w:rsidRDefault="00FD1475" w:rsidP="00FD1475">
      <w:pPr>
        <w:pStyle w:val="ListParagraph"/>
        <w:numPr>
          <w:ilvl w:val="0"/>
          <w:numId w:val="5"/>
        </w:numPr>
        <w:ind w:hanging="630"/>
        <w:rPr>
          <w:rFonts w:ascii="Georgia" w:hAnsi="Georgia"/>
          <w:sz w:val="20"/>
        </w:rPr>
      </w:pPr>
      <w:proofErr w:type="spellStart"/>
      <w:r w:rsidRPr="00426A33">
        <w:rPr>
          <w:rFonts w:ascii="Georgia" w:hAnsi="Georgia"/>
          <w:sz w:val="20"/>
        </w:rPr>
        <w:t>Livesley</w:t>
      </w:r>
      <w:proofErr w:type="spellEnd"/>
      <w:r w:rsidRPr="00426A33">
        <w:rPr>
          <w:rFonts w:ascii="Georgia" w:hAnsi="Georgia"/>
          <w:sz w:val="20"/>
        </w:rPr>
        <w:t xml:space="preserve">, S. J., </w:t>
      </w:r>
      <w:proofErr w:type="spellStart"/>
      <w:r w:rsidRPr="00426A33">
        <w:rPr>
          <w:rFonts w:ascii="Georgia" w:hAnsi="Georgia"/>
          <w:sz w:val="20"/>
        </w:rPr>
        <w:t>Baudinette</w:t>
      </w:r>
      <w:proofErr w:type="spellEnd"/>
      <w:r w:rsidRPr="00426A33">
        <w:rPr>
          <w:rFonts w:ascii="Georgia" w:hAnsi="Georgia"/>
          <w:sz w:val="20"/>
        </w:rPr>
        <w:t>, B. &amp; Glover, D. Rainfall interception and stem flow by eucalypt street trees – The impacts of canopy density and bark type. Urban For. Urban Green. 13, (2013).</w:t>
      </w:r>
    </w:p>
    <w:p w14:paraId="1F085C6E" w14:textId="77777777" w:rsidR="00FD1475" w:rsidRPr="00426A33" w:rsidRDefault="00FD1475" w:rsidP="00FD1475">
      <w:pPr>
        <w:pStyle w:val="ListParagraph"/>
        <w:numPr>
          <w:ilvl w:val="0"/>
          <w:numId w:val="5"/>
        </w:numPr>
        <w:ind w:hanging="630"/>
        <w:rPr>
          <w:rFonts w:ascii="Georgia" w:hAnsi="Georgia"/>
          <w:sz w:val="20"/>
        </w:rPr>
      </w:pPr>
      <w:proofErr w:type="spellStart"/>
      <w:r w:rsidRPr="00426A33">
        <w:rPr>
          <w:rFonts w:ascii="Georgia" w:hAnsi="Georgia"/>
          <w:sz w:val="20"/>
        </w:rPr>
        <w:t>Nytch</w:t>
      </w:r>
      <w:proofErr w:type="spellEnd"/>
      <w:r w:rsidRPr="00426A33">
        <w:rPr>
          <w:rFonts w:ascii="Georgia" w:hAnsi="Georgia"/>
          <w:sz w:val="20"/>
        </w:rPr>
        <w:t xml:space="preserve">, C. J., Meléndez-Ackerman, E. J., Pérez, M. E. &amp; Ortiz-Zayas, J. R. Rainfall interception by six urban trees in San Juan, Puerto Rico. Urban </w:t>
      </w:r>
      <w:proofErr w:type="spellStart"/>
      <w:r w:rsidRPr="00426A33">
        <w:rPr>
          <w:rFonts w:ascii="Georgia" w:hAnsi="Georgia"/>
          <w:sz w:val="20"/>
        </w:rPr>
        <w:t>Ecosyst</w:t>
      </w:r>
      <w:proofErr w:type="spellEnd"/>
      <w:r w:rsidRPr="00426A33">
        <w:rPr>
          <w:rFonts w:ascii="Georgia" w:hAnsi="Georgia"/>
          <w:sz w:val="20"/>
        </w:rPr>
        <w:t>. 22, 103–115 (2019).</w:t>
      </w:r>
    </w:p>
    <w:p w14:paraId="1ECEBC55" w14:textId="77777777" w:rsidR="00FD1475" w:rsidRPr="00426A33" w:rsidRDefault="00FD1475" w:rsidP="00FD1475">
      <w:pPr>
        <w:pStyle w:val="ListParagraph"/>
        <w:numPr>
          <w:ilvl w:val="0"/>
          <w:numId w:val="5"/>
        </w:numPr>
        <w:ind w:hanging="630"/>
        <w:rPr>
          <w:rFonts w:ascii="Georgia" w:hAnsi="Georgia"/>
          <w:sz w:val="20"/>
        </w:rPr>
      </w:pPr>
      <w:r w:rsidRPr="00426A33">
        <w:rPr>
          <w:rFonts w:ascii="Georgia" w:hAnsi="Georgia"/>
          <w:sz w:val="20"/>
        </w:rPr>
        <w:t xml:space="preserve">Perry, S., </w:t>
      </w:r>
      <w:proofErr w:type="spellStart"/>
      <w:r w:rsidRPr="00426A33">
        <w:rPr>
          <w:rFonts w:ascii="Georgia" w:hAnsi="Georgia"/>
          <w:sz w:val="20"/>
        </w:rPr>
        <w:t>Garbon</w:t>
      </w:r>
      <w:proofErr w:type="spellEnd"/>
      <w:r w:rsidRPr="00426A33">
        <w:rPr>
          <w:rFonts w:ascii="Georgia" w:hAnsi="Georgia"/>
          <w:sz w:val="20"/>
        </w:rPr>
        <w:t xml:space="preserve">, J. &amp; Lee, B. Urban Stormwater Runoff Phosphorus Loading and BMP Treatment Capabilities. </w:t>
      </w:r>
      <w:proofErr w:type="spellStart"/>
      <w:r w:rsidRPr="00426A33">
        <w:rPr>
          <w:rFonts w:ascii="Georgia" w:hAnsi="Georgia"/>
          <w:sz w:val="20"/>
        </w:rPr>
        <w:t>Imbrium</w:t>
      </w:r>
      <w:proofErr w:type="spellEnd"/>
      <w:r w:rsidRPr="00426A33">
        <w:rPr>
          <w:rFonts w:ascii="Georgia" w:hAnsi="Georgia"/>
          <w:sz w:val="20"/>
        </w:rPr>
        <w:t xml:space="preserve"> Syst. (2009).</w:t>
      </w:r>
    </w:p>
    <w:p w14:paraId="7C1BD095" w14:textId="77777777" w:rsidR="00FD1475" w:rsidRPr="00426A33" w:rsidRDefault="00FD1475" w:rsidP="00FD1475">
      <w:pPr>
        <w:pStyle w:val="ListParagraph"/>
        <w:numPr>
          <w:ilvl w:val="0"/>
          <w:numId w:val="5"/>
        </w:numPr>
        <w:ind w:hanging="630"/>
        <w:rPr>
          <w:rFonts w:ascii="Georgia" w:hAnsi="Georgia"/>
          <w:sz w:val="20"/>
        </w:rPr>
      </w:pPr>
      <w:proofErr w:type="spellStart"/>
      <w:r w:rsidRPr="00426A33">
        <w:rPr>
          <w:rFonts w:ascii="Georgia" w:hAnsi="Georgia"/>
          <w:sz w:val="20"/>
        </w:rPr>
        <w:t>Smets</w:t>
      </w:r>
      <w:proofErr w:type="spellEnd"/>
      <w:r w:rsidRPr="00426A33">
        <w:rPr>
          <w:rFonts w:ascii="Georgia" w:hAnsi="Georgia"/>
          <w:sz w:val="20"/>
        </w:rPr>
        <w:t xml:space="preserve">, V. et al. The importance of city trees for reducing net rainfall: Comparing measurements and simulations. </w:t>
      </w:r>
      <w:proofErr w:type="spellStart"/>
      <w:r w:rsidRPr="00426A33">
        <w:rPr>
          <w:rFonts w:ascii="Georgia" w:hAnsi="Georgia"/>
          <w:sz w:val="20"/>
        </w:rPr>
        <w:t>Hydrol</w:t>
      </w:r>
      <w:proofErr w:type="spellEnd"/>
      <w:r w:rsidRPr="00426A33">
        <w:rPr>
          <w:rFonts w:ascii="Georgia" w:hAnsi="Georgia"/>
          <w:sz w:val="20"/>
        </w:rPr>
        <w:t>. Earth Syst. Sci. 23, 3865–3884 (2019).</w:t>
      </w:r>
    </w:p>
    <w:p w14:paraId="521DDDD0" w14:textId="77777777" w:rsidR="00FD1475" w:rsidRPr="00426A33" w:rsidRDefault="00FD1475" w:rsidP="00FD1475">
      <w:pPr>
        <w:pStyle w:val="ListParagraph"/>
        <w:numPr>
          <w:ilvl w:val="0"/>
          <w:numId w:val="5"/>
        </w:numPr>
        <w:ind w:hanging="630"/>
        <w:rPr>
          <w:rFonts w:ascii="Georgia" w:hAnsi="Georgia"/>
          <w:sz w:val="20"/>
        </w:rPr>
      </w:pPr>
      <w:proofErr w:type="spellStart"/>
      <w:r w:rsidRPr="00426A33">
        <w:rPr>
          <w:rFonts w:ascii="Georgia" w:hAnsi="Georgia"/>
          <w:sz w:val="20"/>
        </w:rPr>
        <w:t>Šraj</w:t>
      </w:r>
      <w:proofErr w:type="spellEnd"/>
      <w:r w:rsidRPr="00426A33">
        <w:rPr>
          <w:rFonts w:ascii="Georgia" w:hAnsi="Georgia"/>
          <w:sz w:val="20"/>
        </w:rPr>
        <w:t>, M. Rainfall interception by deciduous and coniferous trees in an urban area. (2015).</w:t>
      </w:r>
    </w:p>
    <w:p w14:paraId="5ED34DCD" w14:textId="77777777" w:rsidR="00FD1475" w:rsidRPr="00426A33" w:rsidRDefault="00FD1475" w:rsidP="00FD1475">
      <w:pPr>
        <w:pStyle w:val="ListParagraph"/>
        <w:numPr>
          <w:ilvl w:val="0"/>
          <w:numId w:val="5"/>
        </w:numPr>
        <w:ind w:hanging="630"/>
        <w:rPr>
          <w:rFonts w:ascii="Georgia" w:hAnsi="Georgia"/>
          <w:sz w:val="20"/>
        </w:rPr>
      </w:pPr>
      <w:proofErr w:type="spellStart"/>
      <w:r w:rsidRPr="00426A33">
        <w:rPr>
          <w:rFonts w:ascii="Georgia" w:hAnsi="Georgia"/>
          <w:sz w:val="20"/>
        </w:rPr>
        <w:t>Staelens</w:t>
      </w:r>
      <w:proofErr w:type="spellEnd"/>
      <w:r w:rsidRPr="00426A33">
        <w:rPr>
          <w:rFonts w:ascii="Georgia" w:hAnsi="Georgia"/>
          <w:sz w:val="20"/>
        </w:rPr>
        <w:t xml:space="preserve">, J., De Schrijver, A., </w:t>
      </w:r>
      <w:proofErr w:type="spellStart"/>
      <w:r w:rsidRPr="00426A33">
        <w:rPr>
          <w:rFonts w:ascii="Georgia" w:hAnsi="Georgia"/>
          <w:sz w:val="20"/>
        </w:rPr>
        <w:t>Verheyen</w:t>
      </w:r>
      <w:proofErr w:type="spellEnd"/>
      <w:r w:rsidRPr="00426A33">
        <w:rPr>
          <w:rFonts w:ascii="Georgia" w:hAnsi="Georgia"/>
          <w:sz w:val="20"/>
        </w:rPr>
        <w:t xml:space="preserve">, K. &amp; </w:t>
      </w:r>
      <w:proofErr w:type="spellStart"/>
      <w:r w:rsidRPr="00426A33">
        <w:rPr>
          <w:rFonts w:ascii="Georgia" w:hAnsi="Georgia"/>
          <w:sz w:val="20"/>
        </w:rPr>
        <w:t>Verhoest</w:t>
      </w:r>
      <w:proofErr w:type="spellEnd"/>
      <w:r w:rsidRPr="00426A33">
        <w:rPr>
          <w:rFonts w:ascii="Georgia" w:hAnsi="Georgia"/>
          <w:sz w:val="20"/>
        </w:rPr>
        <w:t xml:space="preserve">, N. E. C. Rainfall partitioning into throughfall, stemflow, and interception within a single beech (Fagus sylvatica L.) canopy: influence of foliation, rain event characteristics, and meteorology. </w:t>
      </w:r>
      <w:proofErr w:type="spellStart"/>
      <w:r w:rsidRPr="00426A33">
        <w:rPr>
          <w:rFonts w:ascii="Georgia" w:hAnsi="Georgia"/>
          <w:sz w:val="20"/>
        </w:rPr>
        <w:t>Hydrol</w:t>
      </w:r>
      <w:proofErr w:type="spellEnd"/>
      <w:r w:rsidRPr="00426A33">
        <w:rPr>
          <w:rFonts w:ascii="Georgia" w:hAnsi="Georgia"/>
          <w:sz w:val="20"/>
        </w:rPr>
        <w:t>. Process. 22, 33–45 (2008).</w:t>
      </w:r>
    </w:p>
    <w:p w14:paraId="6B5C981F" w14:textId="77777777" w:rsidR="00FD1475" w:rsidRPr="00426A33" w:rsidRDefault="00FD1475" w:rsidP="00FD1475">
      <w:pPr>
        <w:pStyle w:val="ListParagraph"/>
        <w:numPr>
          <w:ilvl w:val="0"/>
          <w:numId w:val="5"/>
        </w:numPr>
        <w:ind w:hanging="630"/>
        <w:rPr>
          <w:rFonts w:ascii="Georgia" w:hAnsi="Georgia"/>
          <w:sz w:val="20"/>
        </w:rPr>
      </w:pPr>
      <w:proofErr w:type="spellStart"/>
      <w:r w:rsidRPr="00426A33">
        <w:rPr>
          <w:rFonts w:ascii="Georgia" w:hAnsi="Georgia"/>
          <w:sz w:val="20"/>
        </w:rPr>
        <w:t>Storck</w:t>
      </w:r>
      <w:proofErr w:type="spellEnd"/>
      <w:r w:rsidRPr="00426A33">
        <w:rPr>
          <w:rFonts w:ascii="Georgia" w:hAnsi="Georgia"/>
          <w:sz w:val="20"/>
        </w:rPr>
        <w:t xml:space="preserve">, P., </w:t>
      </w:r>
      <w:proofErr w:type="spellStart"/>
      <w:r w:rsidRPr="00426A33">
        <w:rPr>
          <w:rFonts w:ascii="Georgia" w:hAnsi="Georgia"/>
          <w:sz w:val="20"/>
        </w:rPr>
        <w:t>Lettenmaier</w:t>
      </w:r>
      <w:proofErr w:type="spellEnd"/>
      <w:r w:rsidRPr="00426A33">
        <w:rPr>
          <w:rFonts w:ascii="Georgia" w:hAnsi="Georgia"/>
          <w:sz w:val="20"/>
        </w:rPr>
        <w:t xml:space="preserve">, D. P. &amp; Bolton, S. M. Measurement of snow interception and canopy effects on snow accumulation and melt in a mountainous maritime climate, Oregon, United States. Water </w:t>
      </w:r>
      <w:proofErr w:type="spellStart"/>
      <w:r w:rsidRPr="00426A33">
        <w:rPr>
          <w:rFonts w:ascii="Georgia" w:hAnsi="Georgia"/>
          <w:sz w:val="20"/>
        </w:rPr>
        <w:t>Resour</w:t>
      </w:r>
      <w:proofErr w:type="spellEnd"/>
      <w:r w:rsidRPr="00426A33">
        <w:rPr>
          <w:rFonts w:ascii="Georgia" w:hAnsi="Georgia"/>
          <w:sz w:val="20"/>
        </w:rPr>
        <w:t>. Res. 38, 5-1-5–16 (2002).</w:t>
      </w:r>
    </w:p>
    <w:p w14:paraId="5A44D79E" w14:textId="77777777" w:rsidR="00FD1475" w:rsidRPr="00426A33" w:rsidRDefault="00FD1475" w:rsidP="00FD1475">
      <w:pPr>
        <w:pStyle w:val="ListParagraph"/>
        <w:numPr>
          <w:ilvl w:val="0"/>
          <w:numId w:val="5"/>
        </w:numPr>
        <w:ind w:hanging="630"/>
        <w:rPr>
          <w:rFonts w:ascii="Georgia" w:hAnsi="Georgia"/>
          <w:sz w:val="20"/>
        </w:rPr>
      </w:pPr>
      <w:r w:rsidRPr="00426A33">
        <w:rPr>
          <w:rFonts w:ascii="Georgia" w:hAnsi="Georgia"/>
          <w:sz w:val="20"/>
        </w:rPr>
        <w:t xml:space="preserve">Xiao, Q. &amp; McPherson, E. G. Rainfall interception by Santa Monica’s municipal urban forest. Urban </w:t>
      </w:r>
      <w:proofErr w:type="spellStart"/>
      <w:r w:rsidRPr="00426A33">
        <w:rPr>
          <w:rFonts w:ascii="Georgia" w:hAnsi="Georgia"/>
          <w:sz w:val="20"/>
        </w:rPr>
        <w:t>Ecosyst</w:t>
      </w:r>
      <w:proofErr w:type="spellEnd"/>
      <w:r w:rsidRPr="00426A33">
        <w:rPr>
          <w:rFonts w:ascii="Georgia" w:hAnsi="Georgia"/>
          <w:sz w:val="20"/>
        </w:rPr>
        <w:t>. 6, 291–302 (2002).</w:t>
      </w:r>
    </w:p>
    <w:p w14:paraId="1E10BA11" w14:textId="77777777" w:rsidR="00FD1475" w:rsidRPr="00426A33" w:rsidRDefault="00FD1475" w:rsidP="00FD1475">
      <w:pPr>
        <w:pStyle w:val="ListParagraph"/>
        <w:numPr>
          <w:ilvl w:val="0"/>
          <w:numId w:val="5"/>
        </w:numPr>
        <w:ind w:hanging="630"/>
        <w:rPr>
          <w:rFonts w:ascii="Georgia" w:hAnsi="Georgia"/>
          <w:sz w:val="20"/>
        </w:rPr>
      </w:pPr>
      <w:r w:rsidRPr="00426A33">
        <w:rPr>
          <w:rFonts w:ascii="Georgia" w:hAnsi="Georgia"/>
          <w:sz w:val="20"/>
        </w:rPr>
        <w:t>Xiao, Q. &amp; McPherson, E. G. Surface Water Storage Capacity of Twenty Tree Species in Davis, California. J. Environ. Qual. 45, 188–198 (2016).</w:t>
      </w:r>
    </w:p>
    <w:p w14:paraId="02BEE6B6" w14:textId="77777777" w:rsidR="00FD1475" w:rsidRPr="00426A33" w:rsidRDefault="00FD1475" w:rsidP="00FD1475">
      <w:pPr>
        <w:pStyle w:val="ListParagraph"/>
        <w:numPr>
          <w:ilvl w:val="0"/>
          <w:numId w:val="5"/>
        </w:numPr>
        <w:ind w:hanging="630"/>
        <w:rPr>
          <w:rFonts w:ascii="Georgia" w:hAnsi="Georgia"/>
          <w:sz w:val="20"/>
        </w:rPr>
      </w:pPr>
      <w:r w:rsidRPr="00426A33">
        <w:rPr>
          <w:rFonts w:ascii="Georgia" w:hAnsi="Georgia"/>
          <w:sz w:val="20"/>
        </w:rPr>
        <w:t xml:space="preserve">Xiao, Q. &amp; McPherson, G. G. Rainfall interception of three trees in Oakland, California. Urban </w:t>
      </w:r>
      <w:proofErr w:type="spellStart"/>
      <w:r w:rsidRPr="00426A33">
        <w:rPr>
          <w:rFonts w:ascii="Georgia" w:hAnsi="Georgia"/>
          <w:sz w:val="20"/>
        </w:rPr>
        <w:t>Ecosyst</w:t>
      </w:r>
      <w:proofErr w:type="spellEnd"/>
      <w:r w:rsidRPr="00426A33">
        <w:rPr>
          <w:rFonts w:ascii="Georgia" w:hAnsi="Georgia"/>
          <w:sz w:val="20"/>
        </w:rPr>
        <w:t>. 14, 755–769 (2011).</w:t>
      </w:r>
    </w:p>
    <w:p w14:paraId="70A580FF" w14:textId="77777777" w:rsidR="00FD1475" w:rsidRPr="00426A33" w:rsidRDefault="00FD1475" w:rsidP="00FD1475">
      <w:pPr>
        <w:pStyle w:val="ListParagraph"/>
        <w:numPr>
          <w:ilvl w:val="0"/>
          <w:numId w:val="5"/>
        </w:numPr>
        <w:ind w:hanging="630"/>
        <w:rPr>
          <w:rFonts w:ascii="Georgia" w:hAnsi="Georgia"/>
          <w:sz w:val="20"/>
        </w:rPr>
      </w:pPr>
      <w:r w:rsidRPr="00426A33">
        <w:rPr>
          <w:rFonts w:ascii="Georgia" w:hAnsi="Georgia"/>
          <w:sz w:val="20"/>
        </w:rPr>
        <w:t xml:space="preserve">Xiao, Q. A new approach to modeling tree rainfall interception. J. </w:t>
      </w:r>
      <w:proofErr w:type="spellStart"/>
      <w:r w:rsidRPr="00426A33">
        <w:rPr>
          <w:rFonts w:ascii="Georgia" w:hAnsi="Georgia"/>
          <w:sz w:val="20"/>
        </w:rPr>
        <w:t>Geophys</w:t>
      </w:r>
      <w:proofErr w:type="spellEnd"/>
      <w:r w:rsidRPr="00426A33">
        <w:rPr>
          <w:rFonts w:ascii="Georgia" w:hAnsi="Georgia"/>
          <w:sz w:val="20"/>
        </w:rPr>
        <w:t>. Res. Atmos. 105, 29173–29188 (2000).</w:t>
      </w:r>
    </w:p>
    <w:p w14:paraId="1852AF47" w14:textId="77777777" w:rsidR="00FD1475" w:rsidRPr="00426A33" w:rsidRDefault="00FD1475" w:rsidP="00FD1475">
      <w:pPr>
        <w:pStyle w:val="ListParagraph"/>
        <w:numPr>
          <w:ilvl w:val="0"/>
          <w:numId w:val="5"/>
        </w:numPr>
        <w:ind w:hanging="630"/>
        <w:rPr>
          <w:rFonts w:ascii="Georgia" w:hAnsi="Georgia"/>
          <w:sz w:val="20"/>
        </w:rPr>
      </w:pPr>
      <w:r w:rsidRPr="00426A33">
        <w:rPr>
          <w:rFonts w:ascii="Georgia" w:hAnsi="Georgia"/>
          <w:sz w:val="20"/>
        </w:rPr>
        <w:lastRenderedPageBreak/>
        <w:t xml:space="preserve">Xiao, Q., McPherson, E. G., </w:t>
      </w:r>
      <w:proofErr w:type="spellStart"/>
      <w:r w:rsidRPr="00426A33">
        <w:rPr>
          <w:rFonts w:ascii="Georgia" w:hAnsi="Georgia"/>
          <w:sz w:val="20"/>
        </w:rPr>
        <w:t>Ustin</w:t>
      </w:r>
      <w:proofErr w:type="spellEnd"/>
      <w:r w:rsidRPr="00426A33">
        <w:rPr>
          <w:rFonts w:ascii="Georgia" w:hAnsi="Georgia"/>
          <w:sz w:val="20"/>
        </w:rPr>
        <w:t xml:space="preserve">, S. L., </w:t>
      </w:r>
      <w:proofErr w:type="spellStart"/>
      <w:r w:rsidRPr="00426A33">
        <w:rPr>
          <w:rFonts w:ascii="Georgia" w:hAnsi="Georgia"/>
          <w:sz w:val="20"/>
        </w:rPr>
        <w:t>Grismer</w:t>
      </w:r>
      <w:proofErr w:type="spellEnd"/>
      <w:r w:rsidRPr="00426A33">
        <w:rPr>
          <w:rFonts w:ascii="Georgia" w:hAnsi="Georgia"/>
          <w:sz w:val="20"/>
        </w:rPr>
        <w:t xml:space="preserve">, M. E. &amp; Simpson, J. R. Winter rainfall interception by two mature open-grown trees in Davis, California. </w:t>
      </w:r>
      <w:proofErr w:type="spellStart"/>
      <w:r w:rsidRPr="00426A33">
        <w:rPr>
          <w:rFonts w:ascii="Georgia" w:hAnsi="Georgia"/>
          <w:sz w:val="20"/>
        </w:rPr>
        <w:t>Hydrol</w:t>
      </w:r>
      <w:proofErr w:type="spellEnd"/>
      <w:r w:rsidRPr="00426A33">
        <w:rPr>
          <w:rFonts w:ascii="Georgia" w:hAnsi="Georgia"/>
          <w:sz w:val="20"/>
        </w:rPr>
        <w:t>. Process. 14, 763–784 (2000).</w:t>
      </w:r>
    </w:p>
    <w:p w14:paraId="371AEBEB" w14:textId="77777777" w:rsidR="00FD1475" w:rsidRPr="00426A33" w:rsidRDefault="00FD1475" w:rsidP="00FD1475">
      <w:pPr>
        <w:pStyle w:val="ListParagraph"/>
        <w:numPr>
          <w:ilvl w:val="0"/>
          <w:numId w:val="5"/>
        </w:numPr>
        <w:ind w:hanging="630"/>
        <w:rPr>
          <w:rFonts w:ascii="Georgia" w:hAnsi="Georgia"/>
          <w:sz w:val="20"/>
        </w:rPr>
      </w:pPr>
      <w:r w:rsidRPr="00426A33">
        <w:rPr>
          <w:rFonts w:ascii="Georgia" w:hAnsi="Georgia"/>
          <w:sz w:val="20"/>
        </w:rPr>
        <w:t xml:space="preserve">Yang, B., Lee, D. K., </w:t>
      </w:r>
      <w:proofErr w:type="spellStart"/>
      <w:r w:rsidRPr="00426A33">
        <w:rPr>
          <w:rFonts w:ascii="Georgia" w:hAnsi="Georgia"/>
          <w:sz w:val="20"/>
        </w:rPr>
        <w:t>Heo</w:t>
      </w:r>
      <w:proofErr w:type="spellEnd"/>
      <w:r w:rsidRPr="00426A33">
        <w:rPr>
          <w:rFonts w:ascii="Georgia" w:hAnsi="Georgia"/>
          <w:sz w:val="20"/>
        </w:rPr>
        <w:t xml:space="preserve">, H. K. &amp; </w:t>
      </w:r>
      <w:proofErr w:type="spellStart"/>
      <w:r w:rsidRPr="00426A33">
        <w:rPr>
          <w:rFonts w:ascii="Georgia" w:hAnsi="Georgia"/>
          <w:sz w:val="20"/>
        </w:rPr>
        <w:t>Biging</w:t>
      </w:r>
      <w:proofErr w:type="spellEnd"/>
      <w:r w:rsidRPr="00426A33">
        <w:rPr>
          <w:rFonts w:ascii="Georgia" w:hAnsi="Georgia"/>
          <w:sz w:val="20"/>
        </w:rPr>
        <w:t xml:space="preserve">, G. The effects of tree characteristics on rainfall interception in urban areas. </w:t>
      </w:r>
      <w:proofErr w:type="spellStart"/>
      <w:r w:rsidRPr="00426A33">
        <w:rPr>
          <w:rFonts w:ascii="Georgia" w:hAnsi="Georgia"/>
          <w:sz w:val="20"/>
        </w:rPr>
        <w:t>Landsc</w:t>
      </w:r>
      <w:proofErr w:type="spellEnd"/>
      <w:r w:rsidRPr="00426A33">
        <w:rPr>
          <w:rFonts w:ascii="Georgia" w:hAnsi="Georgia"/>
          <w:sz w:val="20"/>
        </w:rPr>
        <w:t>. Ecol. Eng. 15, 289–296 (2019).</w:t>
      </w:r>
    </w:p>
    <w:p w14:paraId="1ED967E5" w14:textId="77777777" w:rsidR="00FD1475" w:rsidRPr="00426A33" w:rsidRDefault="00FD1475" w:rsidP="00FD1475">
      <w:pPr>
        <w:pStyle w:val="ListParagraph"/>
        <w:numPr>
          <w:ilvl w:val="0"/>
          <w:numId w:val="5"/>
        </w:numPr>
        <w:ind w:hanging="630"/>
        <w:rPr>
          <w:rFonts w:ascii="Georgia" w:hAnsi="Georgia"/>
          <w:sz w:val="20"/>
        </w:rPr>
      </w:pPr>
      <w:r w:rsidRPr="00426A33">
        <w:rPr>
          <w:rFonts w:ascii="Georgia" w:hAnsi="Georgia"/>
          <w:sz w:val="20"/>
        </w:rPr>
        <w:t xml:space="preserve">Yang, Y., </w:t>
      </w:r>
      <w:proofErr w:type="spellStart"/>
      <w:r w:rsidRPr="00426A33">
        <w:rPr>
          <w:rFonts w:ascii="Georgia" w:hAnsi="Georgia"/>
          <w:sz w:val="20"/>
        </w:rPr>
        <w:t>Endreny</w:t>
      </w:r>
      <w:proofErr w:type="spellEnd"/>
      <w:r w:rsidRPr="00426A33">
        <w:rPr>
          <w:rFonts w:ascii="Georgia" w:hAnsi="Georgia"/>
          <w:sz w:val="20"/>
        </w:rPr>
        <w:t xml:space="preserve">, T. A. &amp; Nowak, D. J. </w:t>
      </w:r>
      <w:proofErr w:type="spellStart"/>
      <w:r w:rsidRPr="00426A33">
        <w:rPr>
          <w:rFonts w:ascii="Georgia" w:hAnsi="Georgia"/>
          <w:sz w:val="20"/>
        </w:rPr>
        <w:t>iTree</w:t>
      </w:r>
      <w:proofErr w:type="spellEnd"/>
      <w:r w:rsidRPr="00426A33">
        <w:rPr>
          <w:rFonts w:ascii="Georgia" w:hAnsi="Georgia"/>
          <w:sz w:val="20"/>
        </w:rPr>
        <w:t xml:space="preserve">-Hydro: Snow hydrology update for the urban forest hydrology model. J. Am. Water </w:t>
      </w:r>
      <w:proofErr w:type="spellStart"/>
      <w:r w:rsidRPr="00426A33">
        <w:rPr>
          <w:rFonts w:ascii="Georgia" w:hAnsi="Georgia"/>
          <w:sz w:val="20"/>
        </w:rPr>
        <w:t>Resour</w:t>
      </w:r>
      <w:proofErr w:type="spellEnd"/>
      <w:r w:rsidRPr="00426A33">
        <w:rPr>
          <w:rFonts w:ascii="Georgia" w:hAnsi="Georgia"/>
          <w:sz w:val="20"/>
        </w:rPr>
        <w:t>. Assoc. 47, 1211–1218 (2011).</w:t>
      </w:r>
    </w:p>
    <w:p w14:paraId="157387A6" w14:textId="77777777" w:rsidR="00FD1475" w:rsidRPr="00426A33" w:rsidRDefault="00FD1475" w:rsidP="00FD1475">
      <w:pPr>
        <w:pStyle w:val="ListParagraph"/>
        <w:numPr>
          <w:ilvl w:val="0"/>
          <w:numId w:val="5"/>
        </w:numPr>
        <w:ind w:hanging="630"/>
        <w:rPr>
          <w:rFonts w:ascii="Georgia" w:hAnsi="Georgia"/>
          <w:sz w:val="20"/>
        </w:rPr>
      </w:pPr>
      <w:proofErr w:type="spellStart"/>
      <w:r w:rsidRPr="00426A33">
        <w:rPr>
          <w:rFonts w:ascii="Georgia" w:hAnsi="Georgia"/>
          <w:sz w:val="20"/>
        </w:rPr>
        <w:t>Zabret</w:t>
      </w:r>
      <w:proofErr w:type="spellEnd"/>
      <w:r w:rsidRPr="00426A33">
        <w:rPr>
          <w:rFonts w:ascii="Georgia" w:hAnsi="Georgia"/>
          <w:sz w:val="20"/>
        </w:rPr>
        <w:t xml:space="preserve">, K. &amp; </w:t>
      </w:r>
      <w:proofErr w:type="spellStart"/>
      <w:r w:rsidRPr="00426A33">
        <w:rPr>
          <w:rFonts w:ascii="Georgia" w:hAnsi="Georgia"/>
          <w:sz w:val="20"/>
        </w:rPr>
        <w:t>Šraj</w:t>
      </w:r>
      <w:proofErr w:type="spellEnd"/>
      <w:r w:rsidRPr="00426A33">
        <w:rPr>
          <w:rFonts w:ascii="Georgia" w:hAnsi="Georgia"/>
          <w:sz w:val="20"/>
        </w:rPr>
        <w:t>, M. Evaluating the influence of rain event characteristics on rainfall interception by urban trees using multiple correspondence analysis. Water (Switzerland) 11, (2019).</w:t>
      </w:r>
    </w:p>
    <w:p w14:paraId="47CE7C0D" w14:textId="103C98A3" w:rsidR="00374880" w:rsidRDefault="00374880" w:rsidP="00374880">
      <w:pPr>
        <w:pStyle w:val="BodyText"/>
      </w:pPr>
    </w:p>
    <w:p w14:paraId="7FB86BCB" w14:textId="08FB02A3" w:rsidR="00374880" w:rsidRDefault="00374880" w:rsidP="00374880">
      <w:pPr>
        <w:pStyle w:val="BodyText"/>
      </w:pPr>
    </w:p>
    <w:p w14:paraId="142A9519" w14:textId="77777777" w:rsidR="00426A33" w:rsidRDefault="00426A33" w:rsidP="00374880">
      <w:pPr>
        <w:pStyle w:val="BodyText"/>
      </w:pPr>
    </w:p>
    <w:p w14:paraId="40A6A89D" w14:textId="77777777" w:rsidR="00426A33" w:rsidRDefault="00426A33" w:rsidP="00374880">
      <w:pPr>
        <w:pStyle w:val="BodyText"/>
      </w:pPr>
    </w:p>
    <w:p w14:paraId="549F6248" w14:textId="77777777" w:rsidR="00426A33" w:rsidRDefault="00426A33" w:rsidP="00374880">
      <w:pPr>
        <w:pStyle w:val="BodyText"/>
      </w:pPr>
    </w:p>
    <w:p w14:paraId="018A366F" w14:textId="77777777" w:rsidR="00426A33" w:rsidRDefault="00426A33" w:rsidP="00374880">
      <w:pPr>
        <w:pStyle w:val="BodyText"/>
      </w:pPr>
    </w:p>
    <w:p w14:paraId="2E56DE5F" w14:textId="77777777" w:rsidR="00426A33" w:rsidRDefault="00426A33" w:rsidP="00374880">
      <w:pPr>
        <w:pStyle w:val="BodyText"/>
      </w:pPr>
    </w:p>
    <w:p w14:paraId="559DB622" w14:textId="77777777" w:rsidR="00426A33" w:rsidRDefault="00426A33" w:rsidP="00374880">
      <w:pPr>
        <w:pStyle w:val="BodyText"/>
      </w:pPr>
    </w:p>
    <w:p w14:paraId="1E61109B" w14:textId="77777777" w:rsidR="00426A33" w:rsidRDefault="00426A33" w:rsidP="00374880">
      <w:pPr>
        <w:pStyle w:val="BodyText"/>
      </w:pPr>
    </w:p>
    <w:p w14:paraId="0CC6C8CD" w14:textId="77777777" w:rsidR="00426A33" w:rsidRDefault="00426A33" w:rsidP="00374880">
      <w:pPr>
        <w:pStyle w:val="BodyText"/>
      </w:pPr>
    </w:p>
    <w:p w14:paraId="411226AE" w14:textId="77777777" w:rsidR="00426A33" w:rsidRDefault="00426A33" w:rsidP="00374880">
      <w:pPr>
        <w:pStyle w:val="BodyText"/>
      </w:pPr>
    </w:p>
    <w:p w14:paraId="7062C29D" w14:textId="77777777" w:rsidR="00426A33" w:rsidRDefault="00426A33" w:rsidP="00374880">
      <w:pPr>
        <w:pStyle w:val="BodyText"/>
      </w:pPr>
    </w:p>
    <w:p w14:paraId="2BCF78CD" w14:textId="77777777" w:rsidR="00426A33" w:rsidRDefault="00426A33" w:rsidP="00374880">
      <w:pPr>
        <w:pStyle w:val="BodyText"/>
      </w:pPr>
    </w:p>
    <w:p w14:paraId="515A26A4" w14:textId="77777777" w:rsidR="00426A33" w:rsidRDefault="00426A33" w:rsidP="00374880">
      <w:pPr>
        <w:pStyle w:val="BodyText"/>
      </w:pPr>
    </w:p>
    <w:p w14:paraId="0A893713" w14:textId="77777777" w:rsidR="00426A33" w:rsidRDefault="00426A33" w:rsidP="00374880">
      <w:pPr>
        <w:pStyle w:val="BodyText"/>
      </w:pPr>
    </w:p>
    <w:p w14:paraId="4D12910B" w14:textId="77777777" w:rsidR="00426A33" w:rsidRDefault="00426A33" w:rsidP="00374880">
      <w:pPr>
        <w:pStyle w:val="BodyText"/>
      </w:pPr>
    </w:p>
    <w:p w14:paraId="5C53353A" w14:textId="77777777" w:rsidR="00426A33" w:rsidRDefault="00426A33" w:rsidP="00374880">
      <w:pPr>
        <w:pStyle w:val="BodyText"/>
      </w:pPr>
    </w:p>
    <w:p w14:paraId="7F2DD0ED" w14:textId="77777777" w:rsidR="00426A33" w:rsidRDefault="00426A33" w:rsidP="00374880">
      <w:pPr>
        <w:pStyle w:val="BodyText"/>
      </w:pPr>
    </w:p>
    <w:p w14:paraId="1BB512A7" w14:textId="77777777" w:rsidR="00426A33" w:rsidRDefault="00426A33" w:rsidP="00374880">
      <w:pPr>
        <w:pStyle w:val="BodyText"/>
      </w:pPr>
    </w:p>
    <w:p w14:paraId="0C996291" w14:textId="77777777" w:rsidR="00426A33" w:rsidRDefault="00426A33" w:rsidP="00374880">
      <w:pPr>
        <w:pStyle w:val="BodyText"/>
      </w:pPr>
    </w:p>
    <w:p w14:paraId="73671C9B" w14:textId="77777777" w:rsidR="00426A33" w:rsidRDefault="00426A33" w:rsidP="00374880">
      <w:pPr>
        <w:pStyle w:val="BodyText"/>
      </w:pPr>
    </w:p>
    <w:p w14:paraId="55C14E88" w14:textId="77777777" w:rsidR="00426A33" w:rsidRDefault="00426A33" w:rsidP="00374880">
      <w:pPr>
        <w:pStyle w:val="BodyText"/>
      </w:pPr>
    </w:p>
    <w:p w14:paraId="73EEAAB8" w14:textId="77777777" w:rsidR="00426A33" w:rsidRDefault="00426A33" w:rsidP="00374880">
      <w:pPr>
        <w:pStyle w:val="BodyText"/>
      </w:pPr>
    </w:p>
    <w:p w14:paraId="26184397" w14:textId="77777777" w:rsidR="00426A33" w:rsidRDefault="00426A33" w:rsidP="00374880">
      <w:pPr>
        <w:pStyle w:val="BodyText"/>
      </w:pPr>
    </w:p>
    <w:p w14:paraId="0BE5BD51" w14:textId="77777777" w:rsidR="00426A33" w:rsidRDefault="00426A33" w:rsidP="00374880">
      <w:pPr>
        <w:pStyle w:val="BodyText"/>
      </w:pPr>
    </w:p>
    <w:p w14:paraId="5B9B61D3" w14:textId="706E30FE" w:rsidR="00374880" w:rsidRPr="005800AD" w:rsidRDefault="005C25BD" w:rsidP="00374880">
      <w:pPr>
        <w:pStyle w:val="MemoHeading1"/>
      </w:pPr>
      <w:r>
        <w:lastRenderedPageBreak/>
        <w:t xml:space="preserve">Attachment: </w:t>
      </w:r>
      <w:proofErr w:type="spellStart"/>
      <w:r>
        <w:t>Meta</w:t>
      </w:r>
      <w:r w:rsidR="00374880">
        <w:t xml:space="preserve"> Analysis</w:t>
      </w:r>
      <w:proofErr w:type="spellEnd"/>
    </w:p>
    <w:p w14:paraId="20A0DF30" w14:textId="77777777" w:rsidR="00374880" w:rsidRPr="00374880" w:rsidRDefault="00374880" w:rsidP="00374880">
      <w:pPr>
        <w:pStyle w:val="BodyText"/>
      </w:pPr>
    </w:p>
    <w:sectPr w:rsidR="00374880" w:rsidRPr="00374880" w:rsidSect="00521397">
      <w:type w:val="continuous"/>
      <w:pgSz w:w="12240" w:h="15840" w:code="1"/>
      <w:pgMar w:top="1800" w:right="1800" w:bottom="1440" w:left="1800" w:header="720"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1D3AA" w14:textId="77777777" w:rsidR="00894F19" w:rsidRDefault="00894F19" w:rsidP="00341C47">
      <w:r>
        <w:separator/>
      </w:r>
    </w:p>
  </w:endnote>
  <w:endnote w:type="continuationSeparator" w:id="0">
    <w:p w14:paraId="11FF8D4E" w14:textId="77777777" w:rsidR="00894F19" w:rsidRDefault="00894F19" w:rsidP="0034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77D04" w14:textId="77777777" w:rsidR="00290430" w:rsidRDefault="0029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9E72F" w14:textId="1A568473" w:rsidR="00E25535" w:rsidRPr="00DF7E09" w:rsidRDefault="00894F19" w:rsidP="00DF7E09">
    <w:pPr>
      <w:pStyle w:val="Footer"/>
      <w:jc w:val="right"/>
      <w:rPr>
        <w:rFonts w:asciiTheme="minorHAnsi" w:hAnsiTheme="minorHAnsi"/>
      </w:rPr>
    </w:pPr>
    <w:sdt>
      <w:sdtPr>
        <w:rPr>
          <w:rFonts w:asciiTheme="minorHAnsi" w:hAnsiTheme="minorHAnsi"/>
        </w:rPr>
        <w:id w:val="111872499"/>
        <w:docPartObj>
          <w:docPartGallery w:val="Page Numbers (Bottom of Page)"/>
          <w:docPartUnique/>
        </w:docPartObj>
      </w:sdtPr>
      <w:sdtEndPr/>
      <w:sdtContent>
        <w:r w:rsidR="00E25535" w:rsidRPr="00DF7E09">
          <w:rPr>
            <w:rFonts w:asciiTheme="minorHAnsi" w:hAnsiTheme="minorHAnsi"/>
          </w:rPr>
          <w:t xml:space="preserve">Page </w:t>
        </w:r>
        <w:r w:rsidR="00E25535" w:rsidRPr="00DF7E09">
          <w:rPr>
            <w:rFonts w:asciiTheme="minorHAnsi" w:hAnsiTheme="minorHAnsi"/>
            <w:color w:val="000000" w:themeColor="text1"/>
          </w:rPr>
          <w:t>|</w:t>
        </w:r>
        <w:r w:rsidR="00E25535" w:rsidRPr="00DF7E09">
          <w:rPr>
            <w:rFonts w:asciiTheme="minorHAnsi" w:hAnsiTheme="minorHAnsi"/>
          </w:rPr>
          <w:t xml:space="preserve"> </w:t>
        </w:r>
        <w:r w:rsidR="00E25535" w:rsidRPr="00DF7E09">
          <w:rPr>
            <w:rFonts w:asciiTheme="minorHAnsi" w:hAnsiTheme="minorHAnsi"/>
          </w:rPr>
          <w:fldChar w:fldCharType="begin"/>
        </w:r>
        <w:r w:rsidR="00E25535" w:rsidRPr="00DF7E09">
          <w:rPr>
            <w:rFonts w:asciiTheme="minorHAnsi" w:hAnsiTheme="minorHAnsi"/>
          </w:rPr>
          <w:instrText xml:space="preserve"> PAGE   \* MERGEFORMAT </w:instrText>
        </w:r>
        <w:r w:rsidR="00E25535" w:rsidRPr="00DF7E09">
          <w:rPr>
            <w:rFonts w:asciiTheme="minorHAnsi" w:hAnsiTheme="minorHAnsi"/>
          </w:rPr>
          <w:fldChar w:fldCharType="separate"/>
        </w:r>
        <w:r w:rsidR="005C25BD">
          <w:rPr>
            <w:rFonts w:asciiTheme="minorHAnsi" w:hAnsiTheme="minorHAnsi"/>
            <w:noProof/>
          </w:rPr>
          <w:t>13</w:t>
        </w:r>
        <w:r w:rsidR="00E25535" w:rsidRPr="00DF7E09">
          <w:rPr>
            <w:rFonts w:asciiTheme="minorHAnsi" w:hAnsiTheme="minorHAnsi"/>
            <w:noProof/>
          </w:rPr>
          <w:fldChar w:fldCharType="end"/>
        </w:r>
      </w:sdtContent>
    </w:sdt>
    <w:r w:rsidR="00E25535">
      <w:rPr>
        <w:noProof/>
      </w:rPr>
      <w:drawing>
        <wp:anchor distT="0" distB="0" distL="114300" distR="114300" simplePos="0" relativeHeight="251657216" behindDoc="1" locked="1" layoutInCell="1" allowOverlap="1" wp14:anchorId="468CE2E2" wp14:editId="25E8D2B1">
          <wp:simplePos x="0" y="0"/>
          <wp:positionH relativeFrom="page">
            <wp:posOffset>685800</wp:posOffset>
          </wp:positionH>
          <wp:positionV relativeFrom="page">
            <wp:posOffset>9372600</wp:posOffset>
          </wp:positionV>
          <wp:extent cx="301752" cy="310896"/>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_wave_only.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752" cy="31089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CB043" w14:textId="77777777" w:rsidR="00290430" w:rsidRDefault="0029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712FB" w14:textId="77777777" w:rsidR="00894F19" w:rsidRDefault="00894F19" w:rsidP="00341C47">
      <w:r>
        <w:separator/>
      </w:r>
    </w:p>
  </w:footnote>
  <w:footnote w:type="continuationSeparator" w:id="0">
    <w:p w14:paraId="7CF27E9B" w14:textId="77777777" w:rsidR="00894F19" w:rsidRDefault="00894F19" w:rsidP="00341C47">
      <w:r>
        <w:continuationSeparator/>
      </w:r>
    </w:p>
  </w:footnote>
  <w:footnote w:id="1">
    <w:p w14:paraId="7CCEBC3C" w14:textId="77777777" w:rsidR="00EB739C" w:rsidRDefault="00EB739C" w:rsidP="00EB739C">
      <w:pPr>
        <w:pStyle w:val="FootnoteText"/>
      </w:pPr>
      <w:r>
        <w:rPr>
          <w:rStyle w:val="FootnoteReference"/>
        </w:rPr>
        <w:footnoteRef/>
      </w:r>
      <w:r>
        <w:t xml:space="preserve"> The leaf area index is the leaf area divided by the tree’s crown projection area (LAI = LA/CPA)</w:t>
      </w:r>
    </w:p>
  </w:footnote>
  <w:footnote w:id="2">
    <w:p w14:paraId="6E5BBF68" w14:textId="77777777" w:rsidR="00DA3CB1" w:rsidRDefault="00DA3CB1">
      <w:pPr>
        <w:pStyle w:val="FootnoteText"/>
      </w:pPr>
      <w:r>
        <w:rPr>
          <w:rStyle w:val="FootnoteReference"/>
        </w:rPr>
        <w:footnoteRef/>
      </w:r>
      <w:r>
        <w:t xml:space="preserve"> </w:t>
      </w:r>
      <w:hyperlink r:id="rId1" w:history="1">
        <w:r>
          <w:rPr>
            <w:rStyle w:val="Hyperlink"/>
          </w:rPr>
          <w:t>https://ldas.gsfc.nasa.gov/nldas/v2/forcing</w:t>
        </w:r>
      </w:hyperlink>
    </w:p>
  </w:footnote>
  <w:footnote w:id="3">
    <w:p w14:paraId="50CAF503" w14:textId="77777777" w:rsidR="00B3669F" w:rsidRDefault="00B3669F">
      <w:pPr>
        <w:pStyle w:val="FootnoteText"/>
      </w:pPr>
      <w:r>
        <w:rPr>
          <w:rStyle w:val="FootnoteReference"/>
        </w:rPr>
        <w:footnoteRef/>
      </w:r>
      <w:r>
        <w:t xml:space="preserve"> </w:t>
      </w:r>
      <w:hyperlink r:id="rId2" w:history="1">
        <w:r w:rsidRPr="00A5498C">
          <w:rPr>
            <w:rStyle w:val="Hyperlink"/>
          </w:rPr>
          <w:t>http://www.nws.noaa.gov/oh/hdsc/PMP_related_studies/TR34.pdf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2A65" w14:textId="77777777" w:rsidR="00290430" w:rsidRDefault="00290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80BF" w14:textId="0E91F040" w:rsidR="00E25535" w:rsidRPr="00DF7E09" w:rsidRDefault="00894F19" w:rsidP="008F6BF4">
    <w:pPr>
      <w:pStyle w:val="Header"/>
      <w:tabs>
        <w:tab w:val="clear" w:pos="4680"/>
        <w:tab w:val="clear" w:pos="9360"/>
        <w:tab w:val="right" w:pos="8280"/>
      </w:tabs>
      <w:rPr>
        <w:rFonts w:asciiTheme="minorHAnsi" w:hAnsiTheme="minorHAnsi" w:cstheme="minorHAnsi"/>
        <w:i/>
      </w:rPr>
    </w:pPr>
    <w:sdt>
      <w:sdtPr>
        <w:rPr>
          <w:rFonts w:asciiTheme="minorHAnsi" w:hAnsiTheme="minorHAnsi" w:cstheme="minorHAnsi"/>
          <w:i/>
        </w:rPr>
        <w:id w:val="994380749"/>
        <w:docPartObj>
          <w:docPartGallery w:val="Watermarks"/>
          <w:docPartUnique/>
        </w:docPartObj>
      </w:sdtPr>
      <w:sdtEndPr/>
      <w:sdtContent>
        <w:r>
          <w:rPr>
            <w:rFonts w:asciiTheme="minorHAnsi" w:hAnsiTheme="minorHAnsi" w:cstheme="minorHAnsi"/>
            <w:i/>
            <w:noProof/>
          </w:rPr>
          <w:pict w14:anchorId="61828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26A33" w:rsidRPr="00426A33">
      <w:rPr>
        <w:rFonts w:asciiTheme="minorHAnsi" w:hAnsiTheme="minorHAnsi" w:cstheme="minorHAnsi"/>
        <w:i/>
      </w:rPr>
      <w:t>Tree Interception Capacity: Analyses and Recommendations</w:t>
    </w:r>
    <w:r w:rsidR="00426A33" w:rsidRPr="00DF7E09" w:rsidDel="00426A33">
      <w:rPr>
        <w:rFonts w:asciiTheme="minorHAnsi" w:hAnsiTheme="minorHAnsi" w:cstheme="minorHAnsi"/>
        <w:i/>
      </w:rPr>
      <w:t xml:space="preserve"> </w:t>
    </w:r>
    <w:r w:rsidR="00E25535" w:rsidRPr="00DF7E09">
      <w:rPr>
        <w:rFonts w:asciiTheme="minorHAnsi" w:hAnsiTheme="minorHAnsi" w:cstheme="minorHAnsi"/>
        <w:i/>
      </w:rPr>
      <w:tab/>
    </w:r>
    <w:r w:rsidR="00426A33">
      <w:rPr>
        <w:rFonts w:asciiTheme="minorHAnsi" w:hAnsiTheme="minorHAnsi" w:cstheme="minorHAnsi"/>
        <w:i/>
      </w:rPr>
      <w:t>05/14/2020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183C2" w14:textId="77777777" w:rsidR="00E25535" w:rsidRDefault="008F6BF4">
    <w:pPr>
      <w:pStyle w:val="Header"/>
    </w:pPr>
    <w:r>
      <w:rPr>
        <w:noProof/>
      </w:rPr>
      <w:drawing>
        <wp:inline distT="0" distB="0" distL="0" distR="0" wp14:anchorId="6FE79AED" wp14:editId="232F7301">
          <wp:extent cx="5474208" cy="8930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_Letterhead mov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74208" cy="8930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76581"/>
    <w:multiLevelType w:val="hybridMultilevel"/>
    <w:tmpl w:val="1F0201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A0651"/>
    <w:multiLevelType w:val="hybridMultilevel"/>
    <w:tmpl w:val="E022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B1336"/>
    <w:multiLevelType w:val="hybridMultilevel"/>
    <w:tmpl w:val="819C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6543B"/>
    <w:multiLevelType w:val="hybridMultilevel"/>
    <w:tmpl w:val="983CA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E6F15"/>
    <w:multiLevelType w:val="hybridMultilevel"/>
    <w:tmpl w:val="014E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D63"/>
    <w:rsid w:val="00000994"/>
    <w:rsid w:val="00001821"/>
    <w:rsid w:val="00002B79"/>
    <w:rsid w:val="0000309E"/>
    <w:rsid w:val="000042EE"/>
    <w:rsid w:val="000106F1"/>
    <w:rsid w:val="00010A72"/>
    <w:rsid w:val="000156B2"/>
    <w:rsid w:val="00017865"/>
    <w:rsid w:val="00020417"/>
    <w:rsid w:val="00020502"/>
    <w:rsid w:val="000224D4"/>
    <w:rsid w:val="000234BA"/>
    <w:rsid w:val="00024CFE"/>
    <w:rsid w:val="000266A7"/>
    <w:rsid w:val="0003223D"/>
    <w:rsid w:val="00046D4B"/>
    <w:rsid w:val="00047A8C"/>
    <w:rsid w:val="00051754"/>
    <w:rsid w:val="00051AAA"/>
    <w:rsid w:val="00053F1B"/>
    <w:rsid w:val="000558D3"/>
    <w:rsid w:val="0005598F"/>
    <w:rsid w:val="00056B7F"/>
    <w:rsid w:val="000624DE"/>
    <w:rsid w:val="00064194"/>
    <w:rsid w:val="0008004D"/>
    <w:rsid w:val="00083AA1"/>
    <w:rsid w:val="000848ED"/>
    <w:rsid w:val="00087E8E"/>
    <w:rsid w:val="000B42EE"/>
    <w:rsid w:val="000B50BC"/>
    <w:rsid w:val="000C32BB"/>
    <w:rsid w:val="000C5214"/>
    <w:rsid w:val="000D34D8"/>
    <w:rsid w:val="000D3E46"/>
    <w:rsid w:val="000E46BB"/>
    <w:rsid w:val="000E7654"/>
    <w:rsid w:val="000F71F3"/>
    <w:rsid w:val="000F7BFC"/>
    <w:rsid w:val="000F7E4A"/>
    <w:rsid w:val="00102373"/>
    <w:rsid w:val="00117610"/>
    <w:rsid w:val="00121F0C"/>
    <w:rsid w:val="001239CB"/>
    <w:rsid w:val="00131174"/>
    <w:rsid w:val="0013656B"/>
    <w:rsid w:val="00136AF5"/>
    <w:rsid w:val="00137725"/>
    <w:rsid w:val="0014282C"/>
    <w:rsid w:val="00143016"/>
    <w:rsid w:val="00143375"/>
    <w:rsid w:val="001435B5"/>
    <w:rsid w:val="00150AB9"/>
    <w:rsid w:val="001522DA"/>
    <w:rsid w:val="00153326"/>
    <w:rsid w:val="00154831"/>
    <w:rsid w:val="001573B4"/>
    <w:rsid w:val="00163877"/>
    <w:rsid w:val="001713D5"/>
    <w:rsid w:val="00177EFD"/>
    <w:rsid w:val="00185B19"/>
    <w:rsid w:val="001872A3"/>
    <w:rsid w:val="001934A0"/>
    <w:rsid w:val="00195E37"/>
    <w:rsid w:val="00197E79"/>
    <w:rsid w:val="001A24B3"/>
    <w:rsid w:val="001A2657"/>
    <w:rsid w:val="001A6BAF"/>
    <w:rsid w:val="001A70F4"/>
    <w:rsid w:val="001B1CF5"/>
    <w:rsid w:val="001B3CB0"/>
    <w:rsid w:val="001C0BAB"/>
    <w:rsid w:val="001C1AFC"/>
    <w:rsid w:val="001C583A"/>
    <w:rsid w:val="001C60AF"/>
    <w:rsid w:val="001C68D8"/>
    <w:rsid w:val="001D040B"/>
    <w:rsid w:val="001D50EA"/>
    <w:rsid w:val="001E2ADD"/>
    <w:rsid w:val="001F1678"/>
    <w:rsid w:val="001F1DDF"/>
    <w:rsid w:val="001F53E1"/>
    <w:rsid w:val="002049C7"/>
    <w:rsid w:val="00206240"/>
    <w:rsid w:val="00206EE6"/>
    <w:rsid w:val="002116FD"/>
    <w:rsid w:val="00212ADE"/>
    <w:rsid w:val="00214F74"/>
    <w:rsid w:val="00217091"/>
    <w:rsid w:val="00217E2B"/>
    <w:rsid w:val="00221EBC"/>
    <w:rsid w:val="00225FA3"/>
    <w:rsid w:val="00226863"/>
    <w:rsid w:val="00230413"/>
    <w:rsid w:val="00230CDB"/>
    <w:rsid w:val="002335DA"/>
    <w:rsid w:val="002341C0"/>
    <w:rsid w:val="002438DC"/>
    <w:rsid w:val="0024477E"/>
    <w:rsid w:val="00245BB2"/>
    <w:rsid w:val="00250795"/>
    <w:rsid w:val="00257158"/>
    <w:rsid w:val="00262D43"/>
    <w:rsid w:val="00265F04"/>
    <w:rsid w:val="00267575"/>
    <w:rsid w:val="0027637B"/>
    <w:rsid w:val="00276B8F"/>
    <w:rsid w:val="0028735E"/>
    <w:rsid w:val="00290430"/>
    <w:rsid w:val="00291648"/>
    <w:rsid w:val="002945B2"/>
    <w:rsid w:val="00297A42"/>
    <w:rsid w:val="002A2ACE"/>
    <w:rsid w:val="002A3748"/>
    <w:rsid w:val="002B0D42"/>
    <w:rsid w:val="002B28B9"/>
    <w:rsid w:val="002B2F0E"/>
    <w:rsid w:val="002B4945"/>
    <w:rsid w:val="002C04D8"/>
    <w:rsid w:val="002D4895"/>
    <w:rsid w:val="002D7935"/>
    <w:rsid w:val="002E1D71"/>
    <w:rsid w:val="002E1EA3"/>
    <w:rsid w:val="002F2921"/>
    <w:rsid w:val="002F2D34"/>
    <w:rsid w:val="002F54F6"/>
    <w:rsid w:val="002F589F"/>
    <w:rsid w:val="00304B82"/>
    <w:rsid w:val="00304BB2"/>
    <w:rsid w:val="00305D8E"/>
    <w:rsid w:val="0031088E"/>
    <w:rsid w:val="003135A6"/>
    <w:rsid w:val="00317898"/>
    <w:rsid w:val="00326B89"/>
    <w:rsid w:val="00326E49"/>
    <w:rsid w:val="00334332"/>
    <w:rsid w:val="00340121"/>
    <w:rsid w:val="00341C47"/>
    <w:rsid w:val="00342CB6"/>
    <w:rsid w:val="003443DC"/>
    <w:rsid w:val="00347BE0"/>
    <w:rsid w:val="00353534"/>
    <w:rsid w:val="00355514"/>
    <w:rsid w:val="003571E8"/>
    <w:rsid w:val="00362540"/>
    <w:rsid w:val="003672BA"/>
    <w:rsid w:val="0037464B"/>
    <w:rsid w:val="00374880"/>
    <w:rsid w:val="00377127"/>
    <w:rsid w:val="00377BA7"/>
    <w:rsid w:val="00383D2D"/>
    <w:rsid w:val="00385EC5"/>
    <w:rsid w:val="00391176"/>
    <w:rsid w:val="003918B6"/>
    <w:rsid w:val="003918EB"/>
    <w:rsid w:val="00391B52"/>
    <w:rsid w:val="00395526"/>
    <w:rsid w:val="003A08D7"/>
    <w:rsid w:val="003A7FD9"/>
    <w:rsid w:val="003B3A7C"/>
    <w:rsid w:val="003C22CC"/>
    <w:rsid w:val="003C56D7"/>
    <w:rsid w:val="003C5D3D"/>
    <w:rsid w:val="003D14B5"/>
    <w:rsid w:val="003D2A50"/>
    <w:rsid w:val="003F1148"/>
    <w:rsid w:val="003F117A"/>
    <w:rsid w:val="003F5F54"/>
    <w:rsid w:val="00415A08"/>
    <w:rsid w:val="00415D93"/>
    <w:rsid w:val="00416A28"/>
    <w:rsid w:val="0042322D"/>
    <w:rsid w:val="0042690E"/>
    <w:rsid w:val="00426A33"/>
    <w:rsid w:val="00426BF9"/>
    <w:rsid w:val="004270DF"/>
    <w:rsid w:val="00434351"/>
    <w:rsid w:val="00434AB7"/>
    <w:rsid w:val="00435866"/>
    <w:rsid w:val="00443F7E"/>
    <w:rsid w:val="00453410"/>
    <w:rsid w:val="00453DAE"/>
    <w:rsid w:val="004551C8"/>
    <w:rsid w:val="0046227E"/>
    <w:rsid w:val="00463FFE"/>
    <w:rsid w:val="004649BA"/>
    <w:rsid w:val="00464B0B"/>
    <w:rsid w:val="0048372E"/>
    <w:rsid w:val="00495F50"/>
    <w:rsid w:val="004967BD"/>
    <w:rsid w:val="004A50D7"/>
    <w:rsid w:val="004A5BE2"/>
    <w:rsid w:val="004A74BC"/>
    <w:rsid w:val="004B50D4"/>
    <w:rsid w:val="004B64D3"/>
    <w:rsid w:val="004B6BBE"/>
    <w:rsid w:val="004C15C4"/>
    <w:rsid w:val="004D25B3"/>
    <w:rsid w:val="004E0912"/>
    <w:rsid w:val="004E0CED"/>
    <w:rsid w:val="004E2F76"/>
    <w:rsid w:val="004E4415"/>
    <w:rsid w:val="004E563B"/>
    <w:rsid w:val="005049E0"/>
    <w:rsid w:val="005140EE"/>
    <w:rsid w:val="00517464"/>
    <w:rsid w:val="005174D3"/>
    <w:rsid w:val="00521397"/>
    <w:rsid w:val="00522CEB"/>
    <w:rsid w:val="00527B21"/>
    <w:rsid w:val="00527C56"/>
    <w:rsid w:val="00531132"/>
    <w:rsid w:val="00537CA3"/>
    <w:rsid w:val="005470A9"/>
    <w:rsid w:val="00550371"/>
    <w:rsid w:val="00551830"/>
    <w:rsid w:val="00552A05"/>
    <w:rsid w:val="00555B00"/>
    <w:rsid w:val="005670CE"/>
    <w:rsid w:val="00575DEA"/>
    <w:rsid w:val="005800AD"/>
    <w:rsid w:val="005807E4"/>
    <w:rsid w:val="00583085"/>
    <w:rsid w:val="005856A2"/>
    <w:rsid w:val="00587E9C"/>
    <w:rsid w:val="00590809"/>
    <w:rsid w:val="00591E77"/>
    <w:rsid w:val="00594CE8"/>
    <w:rsid w:val="00595BBA"/>
    <w:rsid w:val="005B021B"/>
    <w:rsid w:val="005B058C"/>
    <w:rsid w:val="005C0F1C"/>
    <w:rsid w:val="005C243F"/>
    <w:rsid w:val="005C25BD"/>
    <w:rsid w:val="005C7C7F"/>
    <w:rsid w:val="005D45A3"/>
    <w:rsid w:val="005D7E30"/>
    <w:rsid w:val="005E6D67"/>
    <w:rsid w:val="005E6FE0"/>
    <w:rsid w:val="005E727A"/>
    <w:rsid w:val="005E72A5"/>
    <w:rsid w:val="005F3016"/>
    <w:rsid w:val="005F60DA"/>
    <w:rsid w:val="00606A02"/>
    <w:rsid w:val="00607F88"/>
    <w:rsid w:val="006118A2"/>
    <w:rsid w:val="00612294"/>
    <w:rsid w:val="00621F71"/>
    <w:rsid w:val="006240AC"/>
    <w:rsid w:val="006250A9"/>
    <w:rsid w:val="00625832"/>
    <w:rsid w:val="00627899"/>
    <w:rsid w:val="00633AC3"/>
    <w:rsid w:val="00633B04"/>
    <w:rsid w:val="00637646"/>
    <w:rsid w:val="00637913"/>
    <w:rsid w:val="006531FF"/>
    <w:rsid w:val="00663B56"/>
    <w:rsid w:val="00665869"/>
    <w:rsid w:val="00671F9F"/>
    <w:rsid w:val="00672D11"/>
    <w:rsid w:val="0067316B"/>
    <w:rsid w:val="00675601"/>
    <w:rsid w:val="00683E62"/>
    <w:rsid w:val="00690D21"/>
    <w:rsid w:val="006938BC"/>
    <w:rsid w:val="006940A0"/>
    <w:rsid w:val="00696674"/>
    <w:rsid w:val="006A13F5"/>
    <w:rsid w:val="006A4333"/>
    <w:rsid w:val="006A6898"/>
    <w:rsid w:val="006B03CA"/>
    <w:rsid w:val="006B08D9"/>
    <w:rsid w:val="006B413B"/>
    <w:rsid w:val="006C0EA5"/>
    <w:rsid w:val="006C2D06"/>
    <w:rsid w:val="006D0B02"/>
    <w:rsid w:val="006D0E88"/>
    <w:rsid w:val="006D57DE"/>
    <w:rsid w:val="006D66BB"/>
    <w:rsid w:val="006E1BF3"/>
    <w:rsid w:val="006E5239"/>
    <w:rsid w:val="006F3BEE"/>
    <w:rsid w:val="00704FC5"/>
    <w:rsid w:val="00710F02"/>
    <w:rsid w:val="00713278"/>
    <w:rsid w:val="007168E5"/>
    <w:rsid w:val="0071711A"/>
    <w:rsid w:val="00724501"/>
    <w:rsid w:val="00724CDE"/>
    <w:rsid w:val="00727A64"/>
    <w:rsid w:val="0073082D"/>
    <w:rsid w:val="00731554"/>
    <w:rsid w:val="007321C9"/>
    <w:rsid w:val="007357F0"/>
    <w:rsid w:val="00736EA7"/>
    <w:rsid w:val="007373D7"/>
    <w:rsid w:val="00740C1C"/>
    <w:rsid w:val="00741893"/>
    <w:rsid w:val="00742813"/>
    <w:rsid w:val="00743266"/>
    <w:rsid w:val="0075250F"/>
    <w:rsid w:val="00752621"/>
    <w:rsid w:val="0075670C"/>
    <w:rsid w:val="00764583"/>
    <w:rsid w:val="00766640"/>
    <w:rsid w:val="0076764C"/>
    <w:rsid w:val="00770D64"/>
    <w:rsid w:val="0077298C"/>
    <w:rsid w:val="00773F38"/>
    <w:rsid w:val="007762A9"/>
    <w:rsid w:val="00782E46"/>
    <w:rsid w:val="00792A8E"/>
    <w:rsid w:val="007940BB"/>
    <w:rsid w:val="00794946"/>
    <w:rsid w:val="007A09DF"/>
    <w:rsid w:val="007A2C1F"/>
    <w:rsid w:val="007A3D4C"/>
    <w:rsid w:val="007B3994"/>
    <w:rsid w:val="007B7023"/>
    <w:rsid w:val="007C4772"/>
    <w:rsid w:val="007C7C88"/>
    <w:rsid w:val="007D2269"/>
    <w:rsid w:val="007D6AB5"/>
    <w:rsid w:val="007E0D0D"/>
    <w:rsid w:val="007E1347"/>
    <w:rsid w:val="007E2730"/>
    <w:rsid w:val="007F287D"/>
    <w:rsid w:val="00806E63"/>
    <w:rsid w:val="00807101"/>
    <w:rsid w:val="00807CAD"/>
    <w:rsid w:val="00811CE9"/>
    <w:rsid w:val="00811F4B"/>
    <w:rsid w:val="00814937"/>
    <w:rsid w:val="00816D70"/>
    <w:rsid w:val="0083292F"/>
    <w:rsid w:val="00836077"/>
    <w:rsid w:val="00840F8B"/>
    <w:rsid w:val="0084260A"/>
    <w:rsid w:val="00846720"/>
    <w:rsid w:val="008474A6"/>
    <w:rsid w:val="008510BB"/>
    <w:rsid w:val="00861FDF"/>
    <w:rsid w:val="00865306"/>
    <w:rsid w:val="00867B04"/>
    <w:rsid w:val="00870D23"/>
    <w:rsid w:val="00876859"/>
    <w:rsid w:val="0088154C"/>
    <w:rsid w:val="00882677"/>
    <w:rsid w:val="00891319"/>
    <w:rsid w:val="00894264"/>
    <w:rsid w:val="00894F19"/>
    <w:rsid w:val="008A0AD2"/>
    <w:rsid w:val="008A570E"/>
    <w:rsid w:val="008A64F0"/>
    <w:rsid w:val="008A6D25"/>
    <w:rsid w:val="008B6802"/>
    <w:rsid w:val="008C28B8"/>
    <w:rsid w:val="008C2C6A"/>
    <w:rsid w:val="008C3D74"/>
    <w:rsid w:val="008C40AA"/>
    <w:rsid w:val="008C5AE8"/>
    <w:rsid w:val="008C66B4"/>
    <w:rsid w:val="008C6D04"/>
    <w:rsid w:val="008C72F1"/>
    <w:rsid w:val="008D0B97"/>
    <w:rsid w:val="008D1529"/>
    <w:rsid w:val="008D411D"/>
    <w:rsid w:val="008E45B4"/>
    <w:rsid w:val="008E5D63"/>
    <w:rsid w:val="008F1D4A"/>
    <w:rsid w:val="008F2EFF"/>
    <w:rsid w:val="008F6BF4"/>
    <w:rsid w:val="00900287"/>
    <w:rsid w:val="009006AC"/>
    <w:rsid w:val="009040DF"/>
    <w:rsid w:val="00906231"/>
    <w:rsid w:val="0090769A"/>
    <w:rsid w:val="00925422"/>
    <w:rsid w:val="00930A65"/>
    <w:rsid w:val="00930C8F"/>
    <w:rsid w:val="0094264F"/>
    <w:rsid w:val="0095316D"/>
    <w:rsid w:val="00956374"/>
    <w:rsid w:val="009578B3"/>
    <w:rsid w:val="009652A4"/>
    <w:rsid w:val="00967D35"/>
    <w:rsid w:val="00971351"/>
    <w:rsid w:val="00971A63"/>
    <w:rsid w:val="00973001"/>
    <w:rsid w:val="00973B62"/>
    <w:rsid w:val="00975950"/>
    <w:rsid w:val="00986EA8"/>
    <w:rsid w:val="009871F1"/>
    <w:rsid w:val="00987BEB"/>
    <w:rsid w:val="00991D9C"/>
    <w:rsid w:val="00992FC4"/>
    <w:rsid w:val="009A0E7E"/>
    <w:rsid w:val="009A41B1"/>
    <w:rsid w:val="009A680C"/>
    <w:rsid w:val="009B1D57"/>
    <w:rsid w:val="009B2881"/>
    <w:rsid w:val="009B2E91"/>
    <w:rsid w:val="009B7C62"/>
    <w:rsid w:val="009C1222"/>
    <w:rsid w:val="009C3E33"/>
    <w:rsid w:val="009D2107"/>
    <w:rsid w:val="009D6D4F"/>
    <w:rsid w:val="009D7220"/>
    <w:rsid w:val="009F084B"/>
    <w:rsid w:val="009F5744"/>
    <w:rsid w:val="009F75EA"/>
    <w:rsid w:val="00A036A8"/>
    <w:rsid w:val="00A03E03"/>
    <w:rsid w:val="00A04B7C"/>
    <w:rsid w:val="00A10D09"/>
    <w:rsid w:val="00A15C14"/>
    <w:rsid w:val="00A17E54"/>
    <w:rsid w:val="00A20193"/>
    <w:rsid w:val="00A30B93"/>
    <w:rsid w:val="00A31455"/>
    <w:rsid w:val="00A33269"/>
    <w:rsid w:val="00A34580"/>
    <w:rsid w:val="00A51CD0"/>
    <w:rsid w:val="00A53841"/>
    <w:rsid w:val="00A65F4F"/>
    <w:rsid w:val="00A7018C"/>
    <w:rsid w:val="00A7317B"/>
    <w:rsid w:val="00A74ECD"/>
    <w:rsid w:val="00A769CE"/>
    <w:rsid w:val="00A821F5"/>
    <w:rsid w:val="00A838F9"/>
    <w:rsid w:val="00A90C95"/>
    <w:rsid w:val="00A9199B"/>
    <w:rsid w:val="00AA0525"/>
    <w:rsid w:val="00AA2725"/>
    <w:rsid w:val="00AA3954"/>
    <w:rsid w:val="00AA3BA3"/>
    <w:rsid w:val="00AC1715"/>
    <w:rsid w:val="00AC2841"/>
    <w:rsid w:val="00AD0732"/>
    <w:rsid w:val="00AD13E6"/>
    <w:rsid w:val="00AD3192"/>
    <w:rsid w:val="00AD4B1F"/>
    <w:rsid w:val="00AE4C97"/>
    <w:rsid w:val="00AE6771"/>
    <w:rsid w:val="00AE70C8"/>
    <w:rsid w:val="00AE7708"/>
    <w:rsid w:val="00AF72C5"/>
    <w:rsid w:val="00B034B7"/>
    <w:rsid w:val="00B053B2"/>
    <w:rsid w:val="00B060DB"/>
    <w:rsid w:val="00B1486E"/>
    <w:rsid w:val="00B1716D"/>
    <w:rsid w:val="00B24E8D"/>
    <w:rsid w:val="00B2675A"/>
    <w:rsid w:val="00B27395"/>
    <w:rsid w:val="00B30D3F"/>
    <w:rsid w:val="00B31F8B"/>
    <w:rsid w:val="00B36392"/>
    <w:rsid w:val="00B3669F"/>
    <w:rsid w:val="00B411C7"/>
    <w:rsid w:val="00B41586"/>
    <w:rsid w:val="00B442C2"/>
    <w:rsid w:val="00B4438D"/>
    <w:rsid w:val="00B471FD"/>
    <w:rsid w:val="00B503D5"/>
    <w:rsid w:val="00B5487B"/>
    <w:rsid w:val="00B5718C"/>
    <w:rsid w:val="00B60126"/>
    <w:rsid w:val="00B6411D"/>
    <w:rsid w:val="00B64ABE"/>
    <w:rsid w:val="00B658DD"/>
    <w:rsid w:val="00B834B1"/>
    <w:rsid w:val="00B87B67"/>
    <w:rsid w:val="00B926A6"/>
    <w:rsid w:val="00B93DD9"/>
    <w:rsid w:val="00BA142D"/>
    <w:rsid w:val="00BA1523"/>
    <w:rsid w:val="00BA3231"/>
    <w:rsid w:val="00BB23C0"/>
    <w:rsid w:val="00BB4C9C"/>
    <w:rsid w:val="00BB7B96"/>
    <w:rsid w:val="00BC2CEF"/>
    <w:rsid w:val="00BC7692"/>
    <w:rsid w:val="00BD342D"/>
    <w:rsid w:val="00BD62FF"/>
    <w:rsid w:val="00BE0B9D"/>
    <w:rsid w:val="00BE12C9"/>
    <w:rsid w:val="00BE62E6"/>
    <w:rsid w:val="00BE66AB"/>
    <w:rsid w:val="00BF176C"/>
    <w:rsid w:val="00C01F1E"/>
    <w:rsid w:val="00C04EE9"/>
    <w:rsid w:val="00C05123"/>
    <w:rsid w:val="00C0616B"/>
    <w:rsid w:val="00C15A32"/>
    <w:rsid w:val="00C2219B"/>
    <w:rsid w:val="00C279D0"/>
    <w:rsid w:val="00C30735"/>
    <w:rsid w:val="00C30A6C"/>
    <w:rsid w:val="00C330DF"/>
    <w:rsid w:val="00C342EB"/>
    <w:rsid w:val="00C3464C"/>
    <w:rsid w:val="00C4650B"/>
    <w:rsid w:val="00C611D4"/>
    <w:rsid w:val="00C6175F"/>
    <w:rsid w:val="00C62FFD"/>
    <w:rsid w:val="00C6566E"/>
    <w:rsid w:val="00C67714"/>
    <w:rsid w:val="00C7219B"/>
    <w:rsid w:val="00C73AC9"/>
    <w:rsid w:val="00C76370"/>
    <w:rsid w:val="00C85DBF"/>
    <w:rsid w:val="00C87F7A"/>
    <w:rsid w:val="00C97C31"/>
    <w:rsid w:val="00CA4521"/>
    <w:rsid w:val="00CB116B"/>
    <w:rsid w:val="00CB485E"/>
    <w:rsid w:val="00CC52AF"/>
    <w:rsid w:val="00CD400B"/>
    <w:rsid w:val="00CD43F9"/>
    <w:rsid w:val="00CD6C78"/>
    <w:rsid w:val="00CE1CCF"/>
    <w:rsid w:val="00CE5917"/>
    <w:rsid w:val="00CE77B4"/>
    <w:rsid w:val="00CF1626"/>
    <w:rsid w:val="00CF3303"/>
    <w:rsid w:val="00CF3CB2"/>
    <w:rsid w:val="00D03B63"/>
    <w:rsid w:val="00D232C1"/>
    <w:rsid w:val="00D30EED"/>
    <w:rsid w:val="00D4235A"/>
    <w:rsid w:val="00D44B1F"/>
    <w:rsid w:val="00D47142"/>
    <w:rsid w:val="00D50833"/>
    <w:rsid w:val="00D50FDF"/>
    <w:rsid w:val="00D511D9"/>
    <w:rsid w:val="00D608CD"/>
    <w:rsid w:val="00D619EF"/>
    <w:rsid w:val="00D61A99"/>
    <w:rsid w:val="00D628D1"/>
    <w:rsid w:val="00D63CC9"/>
    <w:rsid w:val="00D64E75"/>
    <w:rsid w:val="00D67D35"/>
    <w:rsid w:val="00D702B7"/>
    <w:rsid w:val="00D71B18"/>
    <w:rsid w:val="00D728FD"/>
    <w:rsid w:val="00D77485"/>
    <w:rsid w:val="00D85C83"/>
    <w:rsid w:val="00D866F2"/>
    <w:rsid w:val="00D90405"/>
    <w:rsid w:val="00D9086A"/>
    <w:rsid w:val="00D938C6"/>
    <w:rsid w:val="00D96375"/>
    <w:rsid w:val="00D96B07"/>
    <w:rsid w:val="00D97D44"/>
    <w:rsid w:val="00DA3B05"/>
    <w:rsid w:val="00DA3CB1"/>
    <w:rsid w:val="00DA5B7B"/>
    <w:rsid w:val="00DA5E25"/>
    <w:rsid w:val="00DA688E"/>
    <w:rsid w:val="00DB5B87"/>
    <w:rsid w:val="00DC6B5A"/>
    <w:rsid w:val="00DD0DDF"/>
    <w:rsid w:val="00DE45D8"/>
    <w:rsid w:val="00DE4676"/>
    <w:rsid w:val="00DE5514"/>
    <w:rsid w:val="00DE7F69"/>
    <w:rsid w:val="00DF02B0"/>
    <w:rsid w:val="00DF1103"/>
    <w:rsid w:val="00DF1C6F"/>
    <w:rsid w:val="00DF4BB9"/>
    <w:rsid w:val="00DF7578"/>
    <w:rsid w:val="00DF7E09"/>
    <w:rsid w:val="00E06F7E"/>
    <w:rsid w:val="00E07D23"/>
    <w:rsid w:val="00E07F84"/>
    <w:rsid w:val="00E104B5"/>
    <w:rsid w:val="00E105CF"/>
    <w:rsid w:val="00E11CCA"/>
    <w:rsid w:val="00E11DEA"/>
    <w:rsid w:val="00E12D81"/>
    <w:rsid w:val="00E12EC0"/>
    <w:rsid w:val="00E16D8B"/>
    <w:rsid w:val="00E208E2"/>
    <w:rsid w:val="00E21ADB"/>
    <w:rsid w:val="00E22A7E"/>
    <w:rsid w:val="00E25535"/>
    <w:rsid w:val="00E3086F"/>
    <w:rsid w:val="00E31336"/>
    <w:rsid w:val="00E33A0E"/>
    <w:rsid w:val="00E353F6"/>
    <w:rsid w:val="00E405AD"/>
    <w:rsid w:val="00E4247F"/>
    <w:rsid w:val="00E525D8"/>
    <w:rsid w:val="00E555A0"/>
    <w:rsid w:val="00E57611"/>
    <w:rsid w:val="00E63F64"/>
    <w:rsid w:val="00E72BF1"/>
    <w:rsid w:val="00E816EC"/>
    <w:rsid w:val="00E8176E"/>
    <w:rsid w:val="00E9215D"/>
    <w:rsid w:val="00E97390"/>
    <w:rsid w:val="00EB0B48"/>
    <w:rsid w:val="00EB1086"/>
    <w:rsid w:val="00EB5904"/>
    <w:rsid w:val="00EB739C"/>
    <w:rsid w:val="00EC7144"/>
    <w:rsid w:val="00ED1683"/>
    <w:rsid w:val="00ED1942"/>
    <w:rsid w:val="00ED30AC"/>
    <w:rsid w:val="00ED6D04"/>
    <w:rsid w:val="00ED79C5"/>
    <w:rsid w:val="00EE2301"/>
    <w:rsid w:val="00EE3784"/>
    <w:rsid w:val="00EE7061"/>
    <w:rsid w:val="00EF0BD9"/>
    <w:rsid w:val="00EF1288"/>
    <w:rsid w:val="00F06654"/>
    <w:rsid w:val="00F1010D"/>
    <w:rsid w:val="00F13877"/>
    <w:rsid w:val="00F14F33"/>
    <w:rsid w:val="00F15E69"/>
    <w:rsid w:val="00F27B79"/>
    <w:rsid w:val="00F31471"/>
    <w:rsid w:val="00F31917"/>
    <w:rsid w:val="00F31FD9"/>
    <w:rsid w:val="00F4035F"/>
    <w:rsid w:val="00F43425"/>
    <w:rsid w:val="00F45E5F"/>
    <w:rsid w:val="00F54985"/>
    <w:rsid w:val="00F62014"/>
    <w:rsid w:val="00F6662A"/>
    <w:rsid w:val="00F667EF"/>
    <w:rsid w:val="00F82940"/>
    <w:rsid w:val="00F8457D"/>
    <w:rsid w:val="00F85635"/>
    <w:rsid w:val="00F929AF"/>
    <w:rsid w:val="00F94020"/>
    <w:rsid w:val="00F95E5F"/>
    <w:rsid w:val="00F95F04"/>
    <w:rsid w:val="00F9684C"/>
    <w:rsid w:val="00FA64E7"/>
    <w:rsid w:val="00FB2305"/>
    <w:rsid w:val="00FB2458"/>
    <w:rsid w:val="00FB2B46"/>
    <w:rsid w:val="00FB2DD6"/>
    <w:rsid w:val="00FB40AD"/>
    <w:rsid w:val="00FB51BC"/>
    <w:rsid w:val="00FB54E5"/>
    <w:rsid w:val="00FC5E00"/>
    <w:rsid w:val="00FD1475"/>
    <w:rsid w:val="00FD1C6F"/>
    <w:rsid w:val="00FD62CC"/>
    <w:rsid w:val="00FE15D6"/>
    <w:rsid w:val="00FE3BDC"/>
    <w:rsid w:val="00FF0AD5"/>
    <w:rsid w:val="00FF1867"/>
    <w:rsid w:val="00FF29E5"/>
    <w:rsid w:val="00FF50D2"/>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7E3ADE"/>
  <w15:docId w15:val="{0EEBC835-AB8B-46F2-9C7D-E11B8387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5A"/>
    <w:rPr>
      <w:rFonts w:ascii="Times New Roman" w:eastAsia="Times New Roman" w:hAnsi="Times New Roman"/>
      <w:sz w:val="22"/>
    </w:rPr>
  </w:style>
  <w:style w:type="paragraph" w:styleId="Heading1">
    <w:name w:val="heading 1"/>
    <w:basedOn w:val="Normal"/>
    <w:next w:val="Normal"/>
    <w:link w:val="Heading1Char"/>
    <w:qFormat/>
    <w:rsid w:val="00341C47"/>
    <w:pPr>
      <w:keepNext/>
      <w:spacing w:before="240" w:after="60"/>
      <w:outlineLvl w:val="0"/>
    </w:pPr>
    <w:rPr>
      <w:rFonts w:ascii="Arial Narrow" w:hAnsi="Arial Narrow" w:cs="Arial"/>
      <w:b/>
      <w:bCs/>
      <w:kern w:val="32"/>
      <w:sz w:val="32"/>
      <w:szCs w:val="32"/>
    </w:rPr>
  </w:style>
  <w:style w:type="paragraph" w:styleId="Heading2">
    <w:name w:val="heading 2"/>
    <w:basedOn w:val="Normal"/>
    <w:next w:val="Normal"/>
    <w:link w:val="Heading2Char"/>
    <w:uiPriority w:val="9"/>
    <w:unhideWhenUsed/>
    <w:qFormat/>
    <w:rsid w:val="00B2675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2675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50BC"/>
    <w:pPr>
      <w:tabs>
        <w:tab w:val="center" w:pos="4680"/>
        <w:tab w:val="right" w:pos="9360"/>
      </w:tabs>
    </w:pPr>
    <w:rPr>
      <w:rFonts w:ascii="Calibri" w:hAnsi="Calibri"/>
      <w:sz w:val="18"/>
    </w:rPr>
  </w:style>
  <w:style w:type="character" w:customStyle="1" w:styleId="HeaderChar">
    <w:name w:val="Header Char"/>
    <w:basedOn w:val="DefaultParagraphFont"/>
    <w:link w:val="Header"/>
    <w:rsid w:val="000B50BC"/>
    <w:rPr>
      <w:rFonts w:eastAsia="Times New Roman"/>
      <w:sz w:val="18"/>
    </w:rPr>
  </w:style>
  <w:style w:type="paragraph" w:styleId="Footer">
    <w:name w:val="footer"/>
    <w:basedOn w:val="Normal"/>
    <w:link w:val="FooterChar"/>
    <w:uiPriority w:val="99"/>
    <w:unhideWhenUsed/>
    <w:rsid w:val="000B50BC"/>
    <w:pPr>
      <w:tabs>
        <w:tab w:val="center" w:pos="4680"/>
        <w:tab w:val="right" w:pos="9360"/>
      </w:tabs>
    </w:pPr>
    <w:rPr>
      <w:rFonts w:ascii="Calibri" w:hAnsi="Calibri"/>
      <w:sz w:val="18"/>
    </w:rPr>
  </w:style>
  <w:style w:type="character" w:customStyle="1" w:styleId="FooterChar">
    <w:name w:val="Footer Char"/>
    <w:basedOn w:val="DefaultParagraphFont"/>
    <w:link w:val="Footer"/>
    <w:uiPriority w:val="99"/>
    <w:rsid w:val="000B50BC"/>
    <w:rPr>
      <w:rFonts w:eastAsia="Times New Roman"/>
      <w:sz w:val="18"/>
    </w:rPr>
  </w:style>
  <w:style w:type="character" w:customStyle="1" w:styleId="Heading1Char">
    <w:name w:val="Heading 1 Char"/>
    <w:basedOn w:val="DefaultParagraphFont"/>
    <w:link w:val="Heading1"/>
    <w:rsid w:val="00341C47"/>
    <w:rPr>
      <w:rFonts w:ascii="Arial Narrow" w:eastAsia="Times New Roman" w:hAnsi="Arial Narrow" w:cs="Arial"/>
      <w:b/>
      <w:bCs/>
      <w:kern w:val="32"/>
      <w:sz w:val="32"/>
      <w:szCs w:val="32"/>
    </w:rPr>
  </w:style>
  <w:style w:type="paragraph" w:customStyle="1" w:styleId="BodyText">
    <w:name w:val="Body_Text"/>
    <w:basedOn w:val="Normal"/>
    <w:rsid w:val="00B034B7"/>
    <w:pPr>
      <w:spacing w:before="120" w:after="120" w:line="276" w:lineRule="auto"/>
    </w:pPr>
    <w:rPr>
      <w:rFonts w:ascii="Georgia" w:hAnsi="Georgia"/>
      <w:sz w:val="20"/>
      <w:szCs w:val="24"/>
    </w:rPr>
  </w:style>
  <w:style w:type="paragraph" w:customStyle="1" w:styleId="HeadingSubject">
    <w:name w:val="Heading_Subject"/>
    <w:basedOn w:val="Normal"/>
    <w:qFormat/>
    <w:rsid w:val="00C62FFD"/>
    <w:pPr>
      <w:spacing w:before="240" w:after="60"/>
    </w:pPr>
    <w:rPr>
      <w:rFonts w:ascii="Arial Narrow" w:hAnsi="Arial Narrow"/>
      <w:b/>
      <w:sz w:val="24"/>
      <w:szCs w:val="22"/>
    </w:rPr>
  </w:style>
  <w:style w:type="character" w:customStyle="1" w:styleId="Heading2Char">
    <w:name w:val="Heading 2 Char"/>
    <w:basedOn w:val="DefaultParagraphFont"/>
    <w:link w:val="Heading2"/>
    <w:uiPriority w:val="9"/>
    <w:rsid w:val="00B2675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2675A"/>
    <w:rPr>
      <w:rFonts w:ascii="Cambria" w:eastAsia="Times New Roman" w:hAnsi="Cambria" w:cs="Times New Roman"/>
      <w:b/>
      <w:bCs/>
      <w:sz w:val="26"/>
      <w:szCs w:val="26"/>
    </w:rPr>
  </w:style>
  <w:style w:type="character" w:styleId="PageNumber">
    <w:name w:val="page number"/>
    <w:basedOn w:val="DefaultParagraphFont"/>
    <w:rsid w:val="00B2675A"/>
  </w:style>
  <w:style w:type="paragraph" w:customStyle="1" w:styleId="MemoHeading1">
    <w:name w:val="Memo Heading 1"/>
    <w:basedOn w:val="Heading1"/>
    <w:next w:val="BodyText"/>
    <w:qFormat/>
    <w:rsid w:val="000B50BC"/>
    <w:pPr>
      <w:spacing w:after="120"/>
    </w:pPr>
    <w:rPr>
      <w:rFonts w:asciiTheme="minorHAnsi" w:hAnsiTheme="minorHAnsi"/>
      <w:color w:val="174A7C"/>
      <w:sz w:val="28"/>
    </w:rPr>
  </w:style>
  <w:style w:type="paragraph" w:customStyle="1" w:styleId="MemoHeading2">
    <w:name w:val="Memo Heading 2"/>
    <w:basedOn w:val="Heading2"/>
    <w:next w:val="BodyText"/>
    <w:qFormat/>
    <w:rsid w:val="00EB739C"/>
    <w:rPr>
      <w:rFonts w:asciiTheme="minorHAnsi" w:hAnsiTheme="minorHAnsi"/>
      <w:color w:val="174A7C"/>
      <w:sz w:val="24"/>
    </w:rPr>
  </w:style>
  <w:style w:type="paragraph" w:customStyle="1" w:styleId="MemoHeading3">
    <w:name w:val="Memo Heading 3"/>
    <w:basedOn w:val="Heading3"/>
    <w:next w:val="BodyText"/>
    <w:qFormat/>
    <w:rsid w:val="00415A08"/>
    <w:rPr>
      <w:rFonts w:asciiTheme="minorHAnsi" w:hAnsiTheme="minorHAnsi"/>
      <w:sz w:val="24"/>
    </w:rPr>
  </w:style>
  <w:style w:type="paragraph" w:styleId="BalloonText">
    <w:name w:val="Balloon Text"/>
    <w:basedOn w:val="Normal"/>
    <w:link w:val="BalloonTextChar"/>
    <w:uiPriority w:val="99"/>
    <w:semiHidden/>
    <w:unhideWhenUsed/>
    <w:rsid w:val="009A0E7E"/>
    <w:rPr>
      <w:rFonts w:ascii="Tahoma" w:hAnsi="Tahoma" w:cs="Tahoma"/>
      <w:sz w:val="16"/>
      <w:szCs w:val="16"/>
    </w:rPr>
  </w:style>
  <w:style w:type="character" w:customStyle="1" w:styleId="BalloonTextChar">
    <w:name w:val="Balloon Text Char"/>
    <w:basedOn w:val="DefaultParagraphFont"/>
    <w:link w:val="BalloonText"/>
    <w:uiPriority w:val="99"/>
    <w:semiHidden/>
    <w:rsid w:val="009A0E7E"/>
    <w:rPr>
      <w:rFonts w:ascii="Tahoma" w:eastAsia="Times New Roman" w:hAnsi="Tahoma" w:cs="Tahoma"/>
      <w:sz w:val="16"/>
      <w:szCs w:val="16"/>
    </w:rPr>
  </w:style>
  <w:style w:type="character" w:styleId="PlaceholderText">
    <w:name w:val="Placeholder Text"/>
    <w:basedOn w:val="DefaultParagraphFont"/>
    <w:uiPriority w:val="99"/>
    <w:semiHidden/>
    <w:rsid w:val="008C6D04"/>
    <w:rPr>
      <w:color w:val="808080"/>
    </w:rPr>
  </w:style>
  <w:style w:type="character" w:styleId="Strong">
    <w:name w:val="Strong"/>
    <w:basedOn w:val="DefaultParagraphFont"/>
    <w:uiPriority w:val="22"/>
    <w:qFormat/>
    <w:rsid w:val="008C6D04"/>
    <w:rPr>
      <w:b/>
      <w:bCs/>
    </w:rPr>
  </w:style>
  <w:style w:type="table" w:styleId="TableGrid">
    <w:name w:val="Table Grid"/>
    <w:basedOn w:val="TableNormal"/>
    <w:uiPriority w:val="59"/>
    <w:rsid w:val="00AA3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C3E3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DA3CB1"/>
    <w:rPr>
      <w:sz w:val="20"/>
    </w:rPr>
  </w:style>
  <w:style w:type="character" w:customStyle="1" w:styleId="FootnoteTextChar">
    <w:name w:val="Footnote Text Char"/>
    <w:basedOn w:val="DefaultParagraphFont"/>
    <w:link w:val="FootnoteText"/>
    <w:uiPriority w:val="99"/>
    <w:semiHidden/>
    <w:rsid w:val="00DA3CB1"/>
    <w:rPr>
      <w:rFonts w:ascii="Times New Roman" w:eastAsia="Times New Roman" w:hAnsi="Times New Roman"/>
    </w:rPr>
  </w:style>
  <w:style w:type="character" w:styleId="FootnoteReference">
    <w:name w:val="footnote reference"/>
    <w:basedOn w:val="DefaultParagraphFont"/>
    <w:uiPriority w:val="99"/>
    <w:semiHidden/>
    <w:unhideWhenUsed/>
    <w:rsid w:val="00DA3CB1"/>
    <w:rPr>
      <w:vertAlign w:val="superscript"/>
    </w:rPr>
  </w:style>
  <w:style w:type="character" w:styleId="Hyperlink">
    <w:name w:val="Hyperlink"/>
    <w:basedOn w:val="DefaultParagraphFont"/>
    <w:uiPriority w:val="99"/>
    <w:unhideWhenUsed/>
    <w:rsid w:val="00DA3CB1"/>
    <w:rPr>
      <w:color w:val="0000FF"/>
      <w:u w:val="single"/>
    </w:rPr>
  </w:style>
  <w:style w:type="character" w:styleId="CommentReference">
    <w:name w:val="annotation reference"/>
    <w:basedOn w:val="DefaultParagraphFont"/>
    <w:uiPriority w:val="99"/>
    <w:semiHidden/>
    <w:unhideWhenUsed/>
    <w:rsid w:val="004B64D3"/>
    <w:rPr>
      <w:sz w:val="16"/>
      <w:szCs w:val="16"/>
    </w:rPr>
  </w:style>
  <w:style w:type="paragraph" w:styleId="CommentText">
    <w:name w:val="annotation text"/>
    <w:basedOn w:val="Normal"/>
    <w:link w:val="CommentTextChar"/>
    <w:uiPriority w:val="99"/>
    <w:semiHidden/>
    <w:unhideWhenUsed/>
    <w:rsid w:val="004B64D3"/>
    <w:rPr>
      <w:sz w:val="20"/>
    </w:rPr>
  </w:style>
  <w:style w:type="character" w:customStyle="1" w:styleId="CommentTextChar">
    <w:name w:val="Comment Text Char"/>
    <w:basedOn w:val="DefaultParagraphFont"/>
    <w:link w:val="CommentText"/>
    <w:uiPriority w:val="99"/>
    <w:semiHidden/>
    <w:rsid w:val="004B64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B64D3"/>
    <w:rPr>
      <w:b/>
      <w:bCs/>
    </w:rPr>
  </w:style>
  <w:style w:type="character" w:customStyle="1" w:styleId="CommentSubjectChar">
    <w:name w:val="Comment Subject Char"/>
    <w:basedOn w:val="CommentTextChar"/>
    <w:link w:val="CommentSubject"/>
    <w:uiPriority w:val="99"/>
    <w:semiHidden/>
    <w:rsid w:val="004B64D3"/>
    <w:rPr>
      <w:rFonts w:ascii="Times New Roman" w:eastAsia="Times New Roman" w:hAnsi="Times New Roman"/>
      <w:b/>
      <w:bCs/>
    </w:rPr>
  </w:style>
  <w:style w:type="table" w:styleId="GridTable1Light">
    <w:name w:val="Grid Table 1 Light"/>
    <w:basedOn w:val="TableNormal"/>
    <w:uiPriority w:val="46"/>
    <w:rsid w:val="00EB73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D1475"/>
    <w:pPr>
      <w:spacing w:after="160" w:line="259" w:lineRule="auto"/>
      <w:ind w:left="720"/>
      <w:contextualSpacing/>
    </w:pPr>
    <w:rPr>
      <w:rFonts w:asciiTheme="minorHAnsi" w:eastAsiaTheme="minorHAnsi" w:hAnsiTheme="minorHAnsi" w:cstheme="minorBidi"/>
      <w:szCs w:val="22"/>
    </w:rPr>
  </w:style>
  <w:style w:type="table" w:styleId="PlainTable4">
    <w:name w:val="Plain Table 4"/>
    <w:basedOn w:val="TableNormal"/>
    <w:uiPriority w:val="44"/>
    <w:rsid w:val="00426A3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631922">
      <w:bodyDiv w:val="1"/>
      <w:marLeft w:val="0"/>
      <w:marRight w:val="0"/>
      <w:marTop w:val="0"/>
      <w:marBottom w:val="0"/>
      <w:divBdr>
        <w:top w:val="none" w:sz="0" w:space="0" w:color="auto"/>
        <w:left w:val="none" w:sz="0" w:space="0" w:color="auto"/>
        <w:bottom w:val="none" w:sz="0" w:space="0" w:color="auto"/>
        <w:right w:val="none" w:sz="0" w:space="0" w:color="auto"/>
      </w:divBdr>
    </w:div>
    <w:div w:id="152339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notes.xml.rels><?xml version="1.0" encoding="UTF-8" standalone="yes"?>
<Relationships xmlns="http://schemas.openxmlformats.org/package/2006/relationships"><Relationship Id="rId2" Type="http://schemas.openxmlformats.org/officeDocument/2006/relationships/hyperlink" Target="http://www.nws.noaa.gov/oh/hdsc/PMP_related_studies/TR34.pdf" TargetMode="External"/><Relationship Id="rId1" Type="http://schemas.openxmlformats.org/officeDocument/2006/relationships/hyperlink" Target="https://ldas.gsfc.nasa.gov/nldas/v2/forc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rary\AppData\Roaming\Microsoft\Templates\CRO_Memorandum_template_Oakda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DB060E11DE914C8EAD748679DD8260" ma:contentTypeVersion="0" ma:contentTypeDescription="Create a new document." ma:contentTypeScope="" ma:versionID="75bbb323a02b4fba83ef2939552a885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1B3CA-2885-481B-B789-6809D453EA77}">
  <ds:schemaRefs>
    <ds:schemaRef ds:uri="http://schemas.openxmlformats.org/officeDocument/2006/bibliography"/>
  </ds:schemaRefs>
</ds:datastoreItem>
</file>

<file path=customXml/itemProps2.xml><?xml version="1.0" encoding="utf-8"?>
<ds:datastoreItem xmlns:ds="http://schemas.openxmlformats.org/officeDocument/2006/customXml" ds:itemID="{32768BB9-DECE-4D38-B309-35141A06F732}">
  <ds:schemaRefs>
    <ds:schemaRef ds:uri="http://schemas.microsoft.com/sharepoint/v3/contenttype/forms"/>
  </ds:schemaRefs>
</ds:datastoreItem>
</file>

<file path=customXml/itemProps3.xml><?xml version="1.0" encoding="utf-8"?>
<ds:datastoreItem xmlns:ds="http://schemas.openxmlformats.org/officeDocument/2006/customXml" ds:itemID="{0AB3DACB-D009-4A7E-B91D-08253AEEF3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D3ED37-2582-45C7-80A5-AE0766C08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CRO_Memorandum_template_Oakdale</Template>
  <TotalTime>7</TotalTime>
  <Pages>14</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Limno Tech</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Crary</dc:creator>
  <cp:lastModifiedBy>Michael Trojan</cp:lastModifiedBy>
  <cp:revision>2</cp:revision>
  <cp:lastPrinted>2013-01-22T16:50:00Z</cp:lastPrinted>
  <dcterms:created xsi:type="dcterms:W3CDTF">2021-03-17T12:26:00Z</dcterms:created>
  <dcterms:modified xsi:type="dcterms:W3CDTF">2021-03-17T12:26:00Z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0x01010010DB060E11DE914C8EAD748679DD8260</vt:lpwstr>
  </property>
</Properties>
</file>